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F16B" w14:textId="77777777" w:rsidR="002B6696" w:rsidRPr="000114FC" w:rsidRDefault="002B6696" w:rsidP="002B6696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551E72A2" w14:textId="77777777" w:rsidR="002B6696" w:rsidRPr="000114FC" w:rsidRDefault="002B6696" w:rsidP="002B6696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Lampy UV - 15 sztuk</w:t>
      </w:r>
    </w:p>
    <w:p w14:paraId="0C2085C0" w14:textId="77777777" w:rsidR="002B6696" w:rsidRPr="00AE1C56" w:rsidRDefault="002B6696" w:rsidP="002B6696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56B7C282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2ADD210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41608BAD" w14:textId="77777777" w:rsidR="002B6696" w:rsidRPr="00AE1C56" w:rsidRDefault="002B6696" w:rsidP="002B6696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FDB39D9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0847170C" w14:textId="77777777" w:rsidR="002B6696" w:rsidRDefault="002B6696" w:rsidP="002B6696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A4BD957" w14:textId="77777777" w:rsidR="002B6696" w:rsidRPr="00AE1C56" w:rsidRDefault="002B6696" w:rsidP="002B6696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D33D86" w:rsidRPr="00AE1C56" w14:paraId="1702C17F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718EABB9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095EDAF6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6E1E262B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5FC5EC78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470D8E6F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5C2CEC6E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5AB2467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61A042BB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289C2EF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42771266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D09B61C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2E787CEF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0AC23E4E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58DCECE2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C050665" w14:textId="77777777" w:rsidR="002B6696" w:rsidRPr="00AE1C56" w:rsidRDefault="002B6696" w:rsidP="002B6696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7D328E2" w14:textId="77777777" w:rsidR="002B6696" w:rsidRPr="00AE1C56" w:rsidRDefault="002B6696" w:rsidP="002B6696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AD437EC" w14:textId="77777777" w:rsidR="002B6696" w:rsidRPr="00AE1C56" w:rsidRDefault="002B6696" w:rsidP="002B6696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2B6696" w:rsidRPr="000B2010" w14:paraId="36E02C21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24010" w14:textId="77777777" w:rsidR="002B6696" w:rsidRPr="000B2010" w:rsidRDefault="002B6696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06BCC" w14:textId="77777777" w:rsidR="002B6696" w:rsidRPr="000B2010" w:rsidRDefault="002B6696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3D9D" w14:textId="77777777" w:rsidR="002B6696" w:rsidRPr="000B2010" w:rsidRDefault="002B6696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C74F7" w14:textId="77777777" w:rsidR="002B6696" w:rsidRPr="000B2010" w:rsidRDefault="002B6696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2B6696" w:rsidRPr="000B2010" w14:paraId="78A8CB43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9C654" w14:textId="77777777" w:rsidR="002B6696" w:rsidRPr="000114FC" w:rsidRDefault="002B6696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B6696">
              <w:rPr>
                <w:rFonts w:ascii="Garamond" w:hAnsi="Garamond"/>
                <w:b/>
                <w:sz w:val="22"/>
                <w:szCs w:val="22"/>
                <w:lang w:eastAsia="ar-SA"/>
              </w:rPr>
              <w:t>Lampy UV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A6445" w14:textId="77777777" w:rsidR="002B6696" w:rsidRPr="000B2010" w:rsidRDefault="002B6696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083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EC2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E8AD407" w14:textId="77777777" w:rsidR="002B6696" w:rsidRPr="000B2010" w:rsidRDefault="002B6696" w:rsidP="002B6696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2B6696" w:rsidRPr="000B2010" w14:paraId="592E5D29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EF51923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32A7" w14:textId="77777777" w:rsidR="002B6696" w:rsidRPr="000B2010" w:rsidRDefault="002B6696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DE977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247EE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2B6696" w:rsidRPr="000B2010" w14:paraId="2366AAD4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2B8D6B8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122F1A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1CA5E59E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34B444FB" w14:textId="77777777" w:rsidR="002B6696" w:rsidRPr="000B2010" w:rsidRDefault="002B6696" w:rsidP="002B6696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2B6696" w:rsidRPr="000B2010" w14:paraId="2F09687F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73358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2B6696" w:rsidRPr="000B2010" w14:paraId="29B6A03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16FAAC74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E2DB2DA" w14:textId="77777777" w:rsidR="002B6696" w:rsidRPr="000B2010" w:rsidRDefault="002B6696" w:rsidP="002B6696">
      <w:pPr>
        <w:rPr>
          <w:rFonts w:ascii="Garamond" w:hAnsi="Garamond"/>
        </w:rPr>
      </w:pPr>
    </w:p>
    <w:p w14:paraId="1A33309C" w14:textId="77777777" w:rsidR="002B6696" w:rsidRPr="000B2010" w:rsidRDefault="002B6696" w:rsidP="002B6696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2B6696" w:rsidRPr="000B2010" w14:paraId="4B99C309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C9B3A" w14:textId="77777777" w:rsidR="002B6696" w:rsidRPr="000B2010" w:rsidRDefault="002B6696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BCFA6" w14:textId="77777777" w:rsidR="002B6696" w:rsidRPr="000B2010" w:rsidRDefault="002B6696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64DBFECB" w14:textId="77777777" w:rsidR="002B6696" w:rsidRPr="000B2010" w:rsidRDefault="002B6696" w:rsidP="002B6696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6CAB05F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DD2BAB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E0FBF7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2EF916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6B057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77AA16" w14:textId="77777777" w:rsidR="002B6696" w:rsidRDefault="002B669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64C4D579" w14:textId="77777777" w:rsidR="00E264DC" w:rsidRDefault="00BC771B" w:rsidP="00E264DC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6E3E67BC" w14:textId="77777777" w:rsidR="002B6696" w:rsidRPr="002B6696" w:rsidRDefault="002B6696" w:rsidP="00E264DC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2B6696" w14:paraId="166DBEEC" w14:textId="77777777" w:rsidTr="002B66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7CE6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6916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8E2944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1D8FE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4018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46041" w:rsidRPr="002B6696" w14:paraId="0A4881B3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3449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C921D" w14:textId="77777777" w:rsidR="00646041" w:rsidRPr="002B6696" w:rsidRDefault="00537C2F" w:rsidP="00B26F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B6696">
              <w:rPr>
                <w:rFonts w:ascii="Garamond" w:eastAsia="Times New Roman" w:hAnsi="Garamond" w:cs="Times New Roman"/>
                <w:lang w:eastAsia="pl-PL"/>
              </w:rPr>
              <w:t>Lampa bakteriobójcza bezpośredniego działania</w:t>
            </w:r>
            <w:r w:rsidR="002B6696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E21D9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6E54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6F5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4DAA0F41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6873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D500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Napięcie zasilania: 230V, 50Hz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C336F1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FA281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85F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---- </w:t>
            </w:r>
          </w:p>
        </w:tc>
      </w:tr>
      <w:tr w:rsidR="00646041" w:rsidRPr="002B6696" w14:paraId="401B7538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81A0B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D1EB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Moc pobierania z sieci: 75VA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A0E781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E3679" w14:textId="77777777" w:rsidR="00646041" w:rsidRPr="002B6696" w:rsidRDefault="00646041" w:rsidP="00B26F1C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E67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 -----</w:t>
            </w:r>
          </w:p>
        </w:tc>
      </w:tr>
      <w:tr w:rsidR="00646041" w:rsidRPr="002B6696" w14:paraId="7FE83B15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A9F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C458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Element emitujący promieniowanie UV-C: 2x30W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964CCB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CE615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8168" w14:textId="77777777" w:rsidR="00646041" w:rsidRPr="002B6696" w:rsidRDefault="00646041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-----</w:t>
            </w:r>
          </w:p>
        </w:tc>
      </w:tr>
      <w:tr w:rsidR="00646041" w:rsidRPr="002B6696" w14:paraId="69670FA1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9FB3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4E4D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Trwałość promiennika: 8</w:t>
            </w:r>
            <w:r w:rsidR="002B6696">
              <w:rPr>
                <w:rFonts w:ascii="Garamond" w:hAnsi="Garamond" w:cs="Times New Roman"/>
              </w:rPr>
              <w:t xml:space="preserve"> </w:t>
            </w:r>
            <w:r w:rsidRPr="002B6696">
              <w:rPr>
                <w:rFonts w:ascii="Garamond" w:hAnsi="Garamond" w:cs="Times New Roman"/>
              </w:rPr>
              <w:t>000 h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DEA342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929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019" w14:textId="77777777" w:rsidR="00646041" w:rsidRPr="002B6696" w:rsidRDefault="00646041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-----</w:t>
            </w:r>
          </w:p>
        </w:tc>
      </w:tr>
      <w:tr w:rsidR="00646041" w:rsidRPr="002B6696" w14:paraId="1FB60403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7772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0FBA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Natężenie promieniowania UV-C w odległości 1 metra: 3,6W/m²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363F10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E499E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F2A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71D9710E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B458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51DC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Rodzaj pracy: ciągła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1C401C" w14:textId="77777777" w:rsidR="00646041" w:rsidRPr="002B6696" w:rsidRDefault="00430F1C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</w:t>
            </w:r>
            <w:r w:rsidR="00646041" w:rsidRPr="002B6696">
              <w:rPr>
                <w:rFonts w:ascii="Garamond" w:hAnsi="Garamond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44E2F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D03" w14:textId="77777777" w:rsidR="00430F1C" w:rsidRPr="002B6696" w:rsidRDefault="00430F1C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 </w:t>
            </w:r>
          </w:p>
        </w:tc>
      </w:tr>
      <w:tr w:rsidR="00646041" w:rsidRPr="002B6696" w14:paraId="2CE5D9B0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258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F7EC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Dezynfekowana powierzchnia: do 18m²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5AFBF0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012E8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3DB3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558192CD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10B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769B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Wewnętrzny licznik cyfrowy z mikroprocesorem, bez wyświetlacza z akustyczną s</w:t>
            </w:r>
            <w:r w:rsidR="00580D98" w:rsidRPr="002B6696">
              <w:rPr>
                <w:rFonts w:ascii="Garamond" w:hAnsi="Garamond" w:cs="Times New Roman"/>
              </w:rPr>
              <w:t>ygnalizacją momentu wymiany pro</w:t>
            </w:r>
            <w:r w:rsidRPr="002B6696">
              <w:rPr>
                <w:rFonts w:ascii="Garamond" w:hAnsi="Garamond" w:cs="Times New Roman"/>
              </w:rPr>
              <w:t>miennika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EDD348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F22C3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FC1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5D790D6F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9ADB1" w14:textId="77777777" w:rsidR="00646041" w:rsidRPr="0043655D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trike/>
                <w:color w:val="C00000"/>
                <w:sz w:val="22"/>
                <w:szCs w:val="22"/>
              </w:rPr>
            </w:pPr>
            <w:bookmarkStart w:id="0" w:name="_GoBack" w:colFirst="1" w:colLast="4"/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5CBB" w14:textId="77777777" w:rsidR="00646041" w:rsidRPr="0043655D" w:rsidRDefault="00580D98" w:rsidP="00B26F1C">
            <w:pPr>
              <w:spacing w:after="0"/>
              <w:rPr>
                <w:rFonts w:ascii="Garamond" w:hAnsi="Garamond" w:cs="Times New Roman"/>
                <w:strike/>
                <w:color w:val="C00000"/>
              </w:rPr>
            </w:pPr>
            <w:r w:rsidRPr="0043655D">
              <w:rPr>
                <w:rFonts w:ascii="Garamond" w:hAnsi="Garamond" w:cs="Times New Roman"/>
                <w:strike/>
                <w:color w:val="C00000"/>
              </w:rPr>
              <w:t>Czujnik ruchu</w:t>
            </w:r>
            <w:r w:rsidR="002B6696" w:rsidRPr="0043655D">
              <w:rPr>
                <w:rFonts w:ascii="Garamond" w:hAnsi="Garamond" w:cs="Times New Roman"/>
                <w:strike/>
                <w:color w:val="C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74E52" w14:textId="77777777" w:rsidR="00646041" w:rsidRPr="0043655D" w:rsidRDefault="002B6696" w:rsidP="00B26F1C">
            <w:pPr>
              <w:spacing w:after="0"/>
              <w:jc w:val="center"/>
              <w:rPr>
                <w:rFonts w:ascii="Garamond" w:hAnsi="Garamond" w:cs="Times New Roman"/>
                <w:strike/>
                <w:color w:val="C00000"/>
              </w:rPr>
            </w:pPr>
            <w:r w:rsidRPr="0043655D">
              <w:rPr>
                <w:rFonts w:ascii="Garamond" w:hAnsi="Garamond" w:cs="Times New Roman"/>
                <w:strike/>
                <w:color w:val="C0000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47834" w14:textId="77777777" w:rsidR="00646041" w:rsidRPr="0043655D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  <w:strike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499E" w14:textId="77777777" w:rsidR="00646041" w:rsidRPr="0043655D" w:rsidRDefault="00430F1C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  <w:strike/>
                <w:color w:val="C00000"/>
              </w:rPr>
            </w:pPr>
            <w:r w:rsidRPr="0043655D">
              <w:rPr>
                <w:rFonts w:ascii="Garamond" w:hAnsi="Garamond" w:cs="Times New Roman"/>
                <w:strike/>
                <w:color w:val="C00000"/>
              </w:rPr>
              <w:t>---</w:t>
            </w:r>
          </w:p>
        </w:tc>
      </w:tr>
      <w:bookmarkEnd w:id="0"/>
      <w:tr w:rsidR="00580D98" w:rsidRPr="002B6696" w14:paraId="4F93CCD3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54FC4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1D005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Klasa zabezpieczenia przeciwporażeniowego: I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62409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14D66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3FC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2BC554A4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58FEB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1F55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Sterowanie pilotem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31EE8C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9558F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3F3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2B67AFD7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D65E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B63B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Typ obudowy: IP 20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03C65B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D717E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FD8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3FC85030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9403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06D0" w14:textId="60E54CBB" w:rsidR="00580D98" w:rsidRPr="002B6696" w:rsidRDefault="002B6696" w:rsidP="00B26F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Wymiary max. </w:t>
            </w:r>
            <w:r w:rsidR="00580D98" w:rsidRPr="002B6696">
              <w:rPr>
                <w:rFonts w:ascii="Garamond" w:hAnsi="Garamond" w:cs="Times New Roman"/>
              </w:rPr>
              <w:t xml:space="preserve">(mm): kopuła: </w:t>
            </w:r>
            <w:r w:rsidR="00580D98" w:rsidRPr="00B26F1C">
              <w:rPr>
                <w:rFonts w:ascii="Garamond" w:hAnsi="Garamond" w:cs="Times New Roman"/>
              </w:rPr>
              <w:t>950</w:t>
            </w:r>
            <w:r w:rsidR="00AF3225" w:rsidRPr="00B26F1C">
              <w:rPr>
                <w:rFonts w:ascii="Garamond" w:hAnsi="Garamond" w:cs="Times New Roman"/>
              </w:rPr>
              <w:t xml:space="preserve"> mm </w:t>
            </w:r>
            <w:r w:rsidR="00580D98" w:rsidRPr="00B26F1C">
              <w:rPr>
                <w:rFonts w:ascii="Garamond" w:hAnsi="Garamond" w:cs="Times New Roman"/>
              </w:rPr>
              <w:t xml:space="preserve">x 90 </w:t>
            </w:r>
            <w:r w:rsidR="00AF3225" w:rsidRPr="00B26F1C">
              <w:rPr>
                <w:rFonts w:ascii="Garamond" w:hAnsi="Garamond" w:cs="Times New Roman"/>
              </w:rPr>
              <w:t xml:space="preserve">mm </w:t>
            </w:r>
            <w:r w:rsidR="00580D98" w:rsidRPr="00B26F1C">
              <w:rPr>
                <w:rFonts w:ascii="Garamond" w:hAnsi="Garamond" w:cs="Times New Roman"/>
              </w:rPr>
              <w:t>x 150</w:t>
            </w:r>
            <w:r w:rsidR="00AF3225" w:rsidRPr="00B26F1C">
              <w:rPr>
                <w:rFonts w:ascii="Garamond" w:hAnsi="Garamond" w:cs="Times New Roman"/>
              </w:rPr>
              <w:t xml:space="preserve"> mm</w:t>
            </w:r>
            <w:r w:rsidRPr="00B26F1C">
              <w:rPr>
                <w:rFonts w:ascii="Garamond" w:hAnsi="Garamond" w:cs="Times New Roman"/>
              </w:rPr>
              <w:t xml:space="preserve"> </w:t>
            </w:r>
            <w:r w:rsidR="00580D98" w:rsidRPr="002B6696">
              <w:rPr>
                <w:rFonts w:ascii="Garamond" w:hAnsi="Garamond" w:cs="Times New Roman"/>
              </w:rPr>
              <w:t>(+/- 10%)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A3D97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9B680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34E0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14A09C2C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20FA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BAA4" w14:textId="77777777" w:rsidR="00580D98" w:rsidRPr="002B6696" w:rsidRDefault="002B6696" w:rsidP="00B26F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Masa kopuły max</w:t>
            </w:r>
            <w:r w:rsidR="00580D98" w:rsidRPr="002B6696">
              <w:rPr>
                <w:rFonts w:ascii="Garamond" w:hAnsi="Garamond" w:cs="Times New Roman"/>
              </w:rPr>
              <w:t>: 5,5 kg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2ED251" w14:textId="7F9622A0" w:rsidR="00580D98" w:rsidRPr="002B6696" w:rsidRDefault="00D33D8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Tak. </w:t>
            </w:r>
            <w:r w:rsidR="00580D98" w:rsidRPr="002B6696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72266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8D02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5,5 kg. – 0 pkt.</w:t>
            </w:r>
          </w:p>
          <w:p w14:paraId="20D1330F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proofErr w:type="spellStart"/>
            <w:r w:rsidRPr="002B6696">
              <w:rPr>
                <w:rFonts w:ascii="Garamond" w:hAnsi="Garamond" w:cs="Times New Roman"/>
              </w:rPr>
              <w:t>Najnizsza</w:t>
            </w:r>
            <w:proofErr w:type="spellEnd"/>
            <w:r w:rsidRPr="002B6696">
              <w:rPr>
                <w:rFonts w:ascii="Garamond" w:hAnsi="Garamond" w:cs="Times New Roman"/>
              </w:rPr>
              <w:t xml:space="preserve"> – 5 pkt. inne proporcjonalnie</w:t>
            </w:r>
          </w:p>
        </w:tc>
      </w:tr>
      <w:tr w:rsidR="00580D98" w:rsidRPr="002B6696" w14:paraId="42F07D59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06AB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C148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Wykonanie: naścienne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93EE67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DBA03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1B3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34E8FD9F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99C6" w14:textId="77777777" w:rsidR="00646041" w:rsidRPr="002B6696" w:rsidRDefault="00646041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646041" w:rsidRPr="002B6696" w14:paraId="0100677C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9B8B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1B15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2B6696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CA92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Tak/N</w:t>
            </w:r>
            <w:r w:rsidR="002B6696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29F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BEC7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A27B967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lastRenderedPageBreak/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452E502C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A2F8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A9F0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2B6696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10BF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6C8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5AE0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D6134AA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3E8D42E4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8FEA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B504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05FC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82D7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A55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43FC3BC1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11D9E847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EE42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341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2A14" w14:textId="77777777" w:rsidR="00646041" w:rsidRPr="002B6696" w:rsidRDefault="002B6696" w:rsidP="00515D4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3089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051DC77F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10CD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640751F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17023F5D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A03D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4A0E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EBB4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3275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2B8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39C9DE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376CB136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940C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7238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8A5C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D838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AC4B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65C8BD1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5FD727C0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C1CE75C" w14:textId="77777777" w:rsidR="00BC771B" w:rsidRPr="002B6696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2B6696" w14:paraId="42D0BC4E" w14:textId="77777777" w:rsidTr="002B66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A2DD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EE72" w14:textId="77777777" w:rsidR="00BC771B" w:rsidRPr="002B669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766A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82AC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C2DE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2B6696" w14:paraId="62DDE352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C756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027A0" w14:textId="77777777" w:rsidR="00966E35" w:rsidRPr="002B6696" w:rsidRDefault="00966E35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</w:p>
          <w:p w14:paraId="3D2D08DB" w14:textId="77777777" w:rsidR="00D6323B" w:rsidRPr="002B6696" w:rsidRDefault="00D6323B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8A56" w14:textId="77777777" w:rsidR="00966E35" w:rsidRPr="002B6696" w:rsidRDefault="00C83FFD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B15F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8931" w14:textId="77777777" w:rsidR="00C83FFD" w:rsidRPr="002B6696" w:rsidRDefault="00C83FFD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19F4E40F" w14:textId="77777777" w:rsidR="00966E35" w:rsidRPr="002B6696" w:rsidRDefault="00C83FFD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2B6696" w14:paraId="603EC9C4" w14:textId="77777777" w:rsidTr="00515D4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B2C1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47A83" w14:textId="77777777" w:rsidR="00966E35" w:rsidRPr="002B6696" w:rsidRDefault="00966E35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 xml:space="preserve">Gwarancja produkcji części zamiennych [liczba lat] – min. 8 lat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0313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EA1C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17E7" w14:textId="77777777" w:rsidR="00966E35" w:rsidRPr="002B6696" w:rsidRDefault="00B866E3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2B6696" w14:paraId="02432AA9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3DAA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E51" w14:textId="77777777" w:rsidR="00966E35" w:rsidRPr="002B6696" w:rsidRDefault="00966E35" w:rsidP="00B26F1C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5110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78CD" w14:textId="77777777" w:rsidR="00966E35" w:rsidRPr="002B6696" w:rsidRDefault="00966E35" w:rsidP="00B26F1C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2DD6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2B6696" w14:paraId="03FF43AF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468C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8B2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AB5A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A1F7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6DC1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2B6696" w14:paraId="568A1AA7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3762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AE40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ACA2" w14:textId="77777777" w:rsidR="00966E35" w:rsidRPr="002B6696" w:rsidRDefault="005838E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A574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54D8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2B6696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5378A621" w14:textId="77777777" w:rsidR="005838E5" w:rsidRPr="002B6696" w:rsidRDefault="005838E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0B2D4A45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386E51F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910CEF9" w14:textId="77777777" w:rsidR="00BC771B" w:rsidRPr="002B6696" w:rsidRDefault="002B6696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2B6696" w14:paraId="28737A4B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F1D6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6E3D" w14:textId="77777777" w:rsidR="00BC771B" w:rsidRPr="002B669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0FA5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25F4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C29B" w14:textId="77777777" w:rsidR="00BC771B" w:rsidRPr="002B6696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2B6696" w14:paraId="3BE3A0C4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5BBF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99B0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FAC9B" w14:textId="77777777" w:rsidR="00E42DA8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B4F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342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3A911AB7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63D5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BA0C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25C5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AE0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92D1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C87FAAB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C08F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253B" w14:textId="766F44F9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7A5565" w:rsidRPr="007A5565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7A556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4F3B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5B9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21A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4C5871D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3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72B2" w14:textId="77777777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EAF5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A01C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0341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3995407C" w14:textId="77777777" w:rsidTr="00B26F1C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4DB6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015B" w14:textId="77777777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C969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BAAE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08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09A9164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A84B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1784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0DBB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C3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628D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25D00765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7ED2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21CC" w14:textId="77777777" w:rsidR="00E42DA8" w:rsidRPr="002B6696" w:rsidRDefault="00E42DA8" w:rsidP="00B26F1C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E668" w14:textId="3685F05D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CF3D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E7C" w14:textId="77777777" w:rsidR="00E42DA8" w:rsidRPr="002B6696" w:rsidRDefault="00B866E3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1834951A" w14:textId="77777777" w:rsidTr="00515D47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38B87A32" w14:textId="77777777" w:rsidR="00E42DA8" w:rsidRPr="002B6696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448BE1E" w14:textId="77777777" w:rsidR="00041E4B" w:rsidRPr="002B6696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5B25D29" w14:textId="77777777" w:rsidR="00BC771B" w:rsidRPr="002B6696" w:rsidRDefault="002B6696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SZKOLENIA</w:t>
      </w:r>
    </w:p>
    <w:p w14:paraId="06ACED0D" w14:textId="77777777" w:rsidR="00BC771B" w:rsidRPr="002B6696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2B6696" w14:paraId="38051686" w14:textId="77777777" w:rsidTr="00515D47">
        <w:tc>
          <w:tcPr>
            <w:tcW w:w="534" w:type="dxa"/>
            <w:vAlign w:val="center"/>
          </w:tcPr>
          <w:p w14:paraId="330EC891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9072" w:type="dxa"/>
            <w:vAlign w:val="center"/>
          </w:tcPr>
          <w:p w14:paraId="59312908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4E00074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7222F8F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</w:tcPr>
          <w:p w14:paraId="42B51576" w14:textId="77777777" w:rsidR="008A7E6F" w:rsidRPr="002B6696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2B6696" w14:paraId="2BF21FAB" w14:textId="77777777" w:rsidTr="00515D47">
        <w:tc>
          <w:tcPr>
            <w:tcW w:w="534" w:type="dxa"/>
          </w:tcPr>
          <w:p w14:paraId="363DF789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24E08FB" w14:textId="77777777" w:rsidR="00B866E3" w:rsidRPr="002B6696" w:rsidRDefault="00B14FD0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2B669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515D47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559" w:type="dxa"/>
            <w:vAlign w:val="center"/>
          </w:tcPr>
          <w:p w14:paraId="06BB403B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589BD001" w14:textId="77777777" w:rsidR="00B866E3" w:rsidRPr="002B6696" w:rsidRDefault="00B866E3" w:rsidP="00B26F1C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C87AC8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22D1C02E" w14:textId="77777777" w:rsidTr="00515D47">
        <w:tc>
          <w:tcPr>
            <w:tcW w:w="534" w:type="dxa"/>
          </w:tcPr>
          <w:p w14:paraId="02B5A330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D422788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2B6696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2B6696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515D47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559" w:type="dxa"/>
            <w:vAlign w:val="center"/>
          </w:tcPr>
          <w:p w14:paraId="3DF33DA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37906DA6" w14:textId="77777777" w:rsidR="00B866E3" w:rsidRPr="002B6696" w:rsidRDefault="00B866E3" w:rsidP="00B26F1C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ACB42E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3C663A6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CE9C752" w14:textId="77777777" w:rsidR="00BC771B" w:rsidRPr="002B6696" w:rsidRDefault="002B6696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F9083D5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2B6696" w14:paraId="7EAC7B91" w14:textId="77777777" w:rsidTr="00515D47">
        <w:tc>
          <w:tcPr>
            <w:tcW w:w="534" w:type="dxa"/>
            <w:vAlign w:val="center"/>
          </w:tcPr>
          <w:p w14:paraId="261E639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LP</w:t>
            </w:r>
          </w:p>
        </w:tc>
        <w:tc>
          <w:tcPr>
            <w:tcW w:w="9072" w:type="dxa"/>
            <w:vAlign w:val="center"/>
          </w:tcPr>
          <w:p w14:paraId="76DE5557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4A7CD621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322F7CA4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62CD7272" w14:textId="77777777" w:rsidR="008A7E6F" w:rsidRPr="002B6696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2B6696" w14:paraId="71143634" w14:textId="77777777" w:rsidTr="00515D47">
        <w:tc>
          <w:tcPr>
            <w:tcW w:w="534" w:type="dxa"/>
          </w:tcPr>
          <w:p w14:paraId="3A0D690E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F840FD6" w14:textId="77777777" w:rsidR="00B866E3" w:rsidRPr="002B6696" w:rsidRDefault="00B866E3" w:rsidP="00B26F1C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8603EBC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1F53A2C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6980567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244609AD" w14:textId="77777777" w:rsidTr="00515D47">
        <w:tc>
          <w:tcPr>
            <w:tcW w:w="534" w:type="dxa"/>
          </w:tcPr>
          <w:p w14:paraId="2F705769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03D62DFE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AAF0A64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382E831C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B688869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7FB0E73C" w14:textId="77777777" w:rsidTr="00515D47">
        <w:tc>
          <w:tcPr>
            <w:tcW w:w="534" w:type="dxa"/>
          </w:tcPr>
          <w:p w14:paraId="2DEDEA1F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1B3B6A8D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1735B0B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1789B3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1AE6C41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1FCF0DC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1127ED9D" w14:textId="77777777" w:rsidTr="00515D47">
        <w:tc>
          <w:tcPr>
            <w:tcW w:w="534" w:type="dxa"/>
          </w:tcPr>
          <w:p w14:paraId="40A3D54B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683A78AF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634B4A2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4F026346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9A745A7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5D46360F" w14:textId="77777777" w:rsidTr="00515D47">
        <w:tc>
          <w:tcPr>
            <w:tcW w:w="534" w:type="dxa"/>
          </w:tcPr>
          <w:p w14:paraId="43D360A0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1F2EA3A2" w14:textId="77777777" w:rsidR="00B866E3" w:rsidRPr="002B6696" w:rsidRDefault="00B866E3" w:rsidP="00B26F1C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559" w:type="dxa"/>
            <w:vAlign w:val="center"/>
          </w:tcPr>
          <w:p w14:paraId="5B483898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7CB008A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8486B3A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994BACF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9CF7D7B" w14:textId="77777777" w:rsidR="00CE0BB7" w:rsidRPr="002B6696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80D88D5" w14:textId="77777777" w:rsidR="00CE0BB7" w:rsidRPr="002B6696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75993" w14:textId="77777777" w:rsidR="00D15F1D" w:rsidRPr="002B6696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2B6696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3FFB" w14:textId="77777777" w:rsidR="0016528E" w:rsidRDefault="0016528E" w:rsidP="002B10C5">
      <w:pPr>
        <w:spacing w:after="0" w:line="240" w:lineRule="auto"/>
      </w:pPr>
      <w:r>
        <w:separator/>
      </w:r>
    </w:p>
  </w:endnote>
  <w:endnote w:type="continuationSeparator" w:id="0">
    <w:p w14:paraId="4EB4D293" w14:textId="77777777" w:rsidR="0016528E" w:rsidRDefault="0016528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56821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D19C7A" w14:textId="1F6C6CF5" w:rsidR="002B6696" w:rsidRPr="002B6696" w:rsidRDefault="002B6696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2B6696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3655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2B6696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3655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C9DFB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F5280" w14:textId="77777777" w:rsidR="0016528E" w:rsidRDefault="0016528E" w:rsidP="002B10C5">
      <w:pPr>
        <w:spacing w:after="0" w:line="240" w:lineRule="auto"/>
      </w:pPr>
      <w:r>
        <w:separator/>
      </w:r>
    </w:p>
  </w:footnote>
  <w:footnote w:type="continuationSeparator" w:id="0">
    <w:p w14:paraId="34F31C06" w14:textId="77777777" w:rsidR="0016528E" w:rsidRDefault="0016528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A0FB" w14:textId="23EB9750" w:rsidR="002B6696" w:rsidRDefault="002B6696" w:rsidP="0083653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21ED5052" wp14:editId="282F2757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 xml:space="preserve">część 4 </w:t>
    </w:r>
    <w:r w:rsidRPr="009B3B77">
      <w:rPr>
        <w:rFonts w:ascii="Garamond" w:hAnsi="Garamond"/>
        <w:b/>
      </w:rPr>
      <w:t xml:space="preserve">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5BDCAE66" w14:textId="77777777" w:rsidR="002B6696" w:rsidRPr="00B15D8E" w:rsidRDefault="002B6696" w:rsidP="0083653D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644D"/>
    <w:rsid w:val="000472D7"/>
    <w:rsid w:val="00062621"/>
    <w:rsid w:val="00063146"/>
    <w:rsid w:val="0006612C"/>
    <w:rsid w:val="0006649F"/>
    <w:rsid w:val="000800FB"/>
    <w:rsid w:val="00082567"/>
    <w:rsid w:val="000872C6"/>
    <w:rsid w:val="000A01C5"/>
    <w:rsid w:val="000A0B58"/>
    <w:rsid w:val="000A42E2"/>
    <w:rsid w:val="000B3F15"/>
    <w:rsid w:val="000C38A6"/>
    <w:rsid w:val="000C7567"/>
    <w:rsid w:val="000D0B99"/>
    <w:rsid w:val="000E296E"/>
    <w:rsid w:val="000F4D4C"/>
    <w:rsid w:val="00106FA1"/>
    <w:rsid w:val="00107E9C"/>
    <w:rsid w:val="00127C35"/>
    <w:rsid w:val="00153000"/>
    <w:rsid w:val="0016528E"/>
    <w:rsid w:val="001703BB"/>
    <w:rsid w:val="00186665"/>
    <w:rsid w:val="0019014E"/>
    <w:rsid w:val="001903D2"/>
    <w:rsid w:val="00195D24"/>
    <w:rsid w:val="001A26B2"/>
    <w:rsid w:val="001C5AC0"/>
    <w:rsid w:val="001D7920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749B"/>
    <w:rsid w:val="002632B0"/>
    <w:rsid w:val="00264D89"/>
    <w:rsid w:val="00273A1E"/>
    <w:rsid w:val="00275E43"/>
    <w:rsid w:val="002764C3"/>
    <w:rsid w:val="00281C87"/>
    <w:rsid w:val="00297630"/>
    <w:rsid w:val="002B1075"/>
    <w:rsid w:val="002B10C5"/>
    <w:rsid w:val="002B6696"/>
    <w:rsid w:val="002D4404"/>
    <w:rsid w:val="002E6120"/>
    <w:rsid w:val="002E7641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16DBD"/>
    <w:rsid w:val="00420195"/>
    <w:rsid w:val="0043041A"/>
    <w:rsid w:val="00430F1C"/>
    <w:rsid w:val="00431206"/>
    <w:rsid w:val="0043655D"/>
    <w:rsid w:val="00442708"/>
    <w:rsid w:val="00444EC2"/>
    <w:rsid w:val="004537A6"/>
    <w:rsid w:val="004818A3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149CA"/>
    <w:rsid w:val="00515D47"/>
    <w:rsid w:val="0053297A"/>
    <w:rsid w:val="00537C2F"/>
    <w:rsid w:val="0054058A"/>
    <w:rsid w:val="005439ED"/>
    <w:rsid w:val="005518B8"/>
    <w:rsid w:val="0055762C"/>
    <w:rsid w:val="0057034C"/>
    <w:rsid w:val="00580D98"/>
    <w:rsid w:val="005838E5"/>
    <w:rsid w:val="00585CE5"/>
    <w:rsid w:val="00595A76"/>
    <w:rsid w:val="005A00B3"/>
    <w:rsid w:val="005A233B"/>
    <w:rsid w:val="005A6E64"/>
    <w:rsid w:val="005A7BE7"/>
    <w:rsid w:val="005C2DEE"/>
    <w:rsid w:val="005C6D9B"/>
    <w:rsid w:val="00602393"/>
    <w:rsid w:val="00604D5A"/>
    <w:rsid w:val="00617EC5"/>
    <w:rsid w:val="006309BF"/>
    <w:rsid w:val="006359AC"/>
    <w:rsid w:val="00646041"/>
    <w:rsid w:val="00647553"/>
    <w:rsid w:val="00660D6E"/>
    <w:rsid w:val="00662669"/>
    <w:rsid w:val="006645D9"/>
    <w:rsid w:val="00682BFE"/>
    <w:rsid w:val="006A3BC9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82D28"/>
    <w:rsid w:val="00795D24"/>
    <w:rsid w:val="007A5565"/>
    <w:rsid w:val="007B4693"/>
    <w:rsid w:val="007B64B7"/>
    <w:rsid w:val="007C1877"/>
    <w:rsid w:val="007C42CC"/>
    <w:rsid w:val="007D2398"/>
    <w:rsid w:val="007D59DB"/>
    <w:rsid w:val="007D5E92"/>
    <w:rsid w:val="007E240F"/>
    <w:rsid w:val="007E41E1"/>
    <w:rsid w:val="008028E8"/>
    <w:rsid w:val="0082224E"/>
    <w:rsid w:val="008238A6"/>
    <w:rsid w:val="00827157"/>
    <w:rsid w:val="008273A2"/>
    <w:rsid w:val="0083653D"/>
    <w:rsid w:val="008518D5"/>
    <w:rsid w:val="0085403C"/>
    <w:rsid w:val="008612F0"/>
    <w:rsid w:val="00865A78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0241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181D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A6D1D"/>
    <w:rsid w:val="00AE0249"/>
    <w:rsid w:val="00AF3225"/>
    <w:rsid w:val="00AF3299"/>
    <w:rsid w:val="00AF7709"/>
    <w:rsid w:val="00B06439"/>
    <w:rsid w:val="00B10F4C"/>
    <w:rsid w:val="00B14FD0"/>
    <w:rsid w:val="00B17977"/>
    <w:rsid w:val="00B2065F"/>
    <w:rsid w:val="00B20B77"/>
    <w:rsid w:val="00B26F1C"/>
    <w:rsid w:val="00B32911"/>
    <w:rsid w:val="00B33D13"/>
    <w:rsid w:val="00B61962"/>
    <w:rsid w:val="00B72884"/>
    <w:rsid w:val="00B80BC2"/>
    <w:rsid w:val="00B866E3"/>
    <w:rsid w:val="00B935A3"/>
    <w:rsid w:val="00BA1B97"/>
    <w:rsid w:val="00BC771B"/>
    <w:rsid w:val="00BC7F07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3D86"/>
    <w:rsid w:val="00D34B80"/>
    <w:rsid w:val="00D44B05"/>
    <w:rsid w:val="00D51728"/>
    <w:rsid w:val="00D61D89"/>
    <w:rsid w:val="00D6323B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E36CA"/>
    <w:rsid w:val="00DF2B72"/>
    <w:rsid w:val="00DF3D22"/>
    <w:rsid w:val="00E264DC"/>
    <w:rsid w:val="00E27249"/>
    <w:rsid w:val="00E350B5"/>
    <w:rsid w:val="00E42DA8"/>
    <w:rsid w:val="00E504BC"/>
    <w:rsid w:val="00E50DAF"/>
    <w:rsid w:val="00E54929"/>
    <w:rsid w:val="00E72C94"/>
    <w:rsid w:val="00E73DBE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2718"/>
    <w:rsid w:val="00F33599"/>
    <w:rsid w:val="00F34EF1"/>
    <w:rsid w:val="00F40C51"/>
    <w:rsid w:val="00F4576E"/>
    <w:rsid w:val="00F56614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C0795"/>
    <w:rsid w:val="00FD0608"/>
    <w:rsid w:val="00FE260C"/>
    <w:rsid w:val="00FF319F"/>
    <w:rsid w:val="00FF35D5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43A1"/>
  <w15:docId w15:val="{7A13DEB5-2771-4FAE-A24A-437F789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  <w:style w:type="paragraph" w:customStyle="1" w:styleId="MD-IOtekstzwyky1">
    <w:name w:val="MD-IO tekst zwykły 1"/>
    <w:basedOn w:val="Normalny"/>
    <w:rsid w:val="00646041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D6A0-696A-41FB-9891-DD7E8600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6</cp:revision>
  <cp:lastPrinted>2018-07-06T08:48:00Z</cp:lastPrinted>
  <dcterms:created xsi:type="dcterms:W3CDTF">2019-06-06T08:33:00Z</dcterms:created>
  <dcterms:modified xsi:type="dcterms:W3CDTF">2019-07-15T06:38:00Z</dcterms:modified>
</cp:coreProperties>
</file>