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7C4C" w14:textId="77777777" w:rsidR="004467FE" w:rsidRPr="000114FC" w:rsidRDefault="004467FE" w:rsidP="004467FE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243A3AB1" w14:textId="77777777" w:rsidR="004467FE" w:rsidRPr="000114FC" w:rsidRDefault="004467FE" w:rsidP="004467FE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r w:rsidRPr="004467FE">
        <w:rPr>
          <w:rFonts w:ascii="Garamond" w:eastAsia="Times New Roman" w:hAnsi="Garamond" w:cs="Times New Roman"/>
          <w:b/>
          <w:color w:val="002060"/>
          <w:lang w:eastAsia="ar-SA"/>
        </w:rPr>
        <w:t xml:space="preserve">Komora do PCR 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>- 2 sztuki</w:t>
      </w:r>
    </w:p>
    <w:p w14:paraId="68EA4BED" w14:textId="77777777" w:rsidR="004467FE" w:rsidRPr="00AE1C56" w:rsidRDefault="004467FE" w:rsidP="004467FE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E1C56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14:paraId="7F6FA2B4" w14:textId="77777777" w:rsidR="004467FE" w:rsidRPr="00AE1C56" w:rsidRDefault="004467FE" w:rsidP="004467FE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78C1CAE6" w14:textId="77777777" w:rsidR="004467FE" w:rsidRPr="00026A85" w:rsidRDefault="004467FE" w:rsidP="004467FE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3D91CEF8" w14:textId="77777777" w:rsidR="004467FE" w:rsidRPr="00AE1C56" w:rsidRDefault="004467FE" w:rsidP="004467FE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DBDCBD9" w14:textId="77777777" w:rsidR="004467FE" w:rsidRPr="00AE1C56" w:rsidRDefault="004467FE" w:rsidP="004467FE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15420FD0" w14:textId="77777777" w:rsidR="004467FE" w:rsidRDefault="004467FE" w:rsidP="004467FE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22655915" w14:textId="77777777" w:rsidR="004467FE" w:rsidRPr="00AE1C56" w:rsidRDefault="004467FE" w:rsidP="004467FE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E96590" w:rsidRPr="00AE1C56" w14:paraId="046F66BB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550C573D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557BAB81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96590" w:rsidRPr="00AE1C56" w14:paraId="29FB03D7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40C4D8DE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5AC09AAF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96590" w:rsidRPr="00AE1C56" w14:paraId="6D6A9269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1DCF27E6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2F3A5F66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96590" w:rsidRPr="00AE1C56" w14:paraId="6920AC18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2C7FB57D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3A625341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96590" w:rsidRPr="00AE1C56" w14:paraId="3A2ED230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2576F980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604E62BD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78B3A3F7" w14:textId="77777777" w:rsidR="009324AF" w:rsidRPr="009324AF" w:rsidRDefault="009324AF" w:rsidP="009324AF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1EA63A7C" w14:textId="77777777" w:rsidR="004467FE" w:rsidRPr="00AE1C56" w:rsidRDefault="004467FE" w:rsidP="004467FE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14:paraId="6A1E7558" w14:textId="77777777" w:rsidR="004467FE" w:rsidRPr="00AE1C56" w:rsidRDefault="004467FE" w:rsidP="004467FE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8"/>
        <w:gridCol w:w="1818"/>
        <w:gridCol w:w="3633"/>
        <w:gridCol w:w="5225"/>
      </w:tblGrid>
      <w:tr w:rsidR="004467FE" w:rsidRPr="000B2010" w14:paraId="320B7B4F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8AA0E" w14:textId="77777777" w:rsidR="004467FE" w:rsidRPr="004467FE" w:rsidRDefault="004467FE" w:rsidP="00992664">
            <w:pPr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8"/>
                <w:szCs w:val="28"/>
                <w:lang w:eastAsia="ar-SA"/>
              </w:rPr>
              <w:br w:type="page"/>
            </w:r>
            <w:r w:rsidRPr="004467FE">
              <w:rPr>
                <w:rFonts w:ascii="Garamond" w:hAnsi="Garamond" w:cs="Arial"/>
                <w:bCs/>
                <w:sz w:val="22"/>
                <w:szCs w:val="22"/>
              </w:rPr>
              <w:br w:type="page"/>
            </w:r>
            <w:r w:rsidRPr="004467FE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0A2F1" w14:textId="77777777" w:rsidR="004467FE" w:rsidRPr="004467FE" w:rsidRDefault="004467FE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7D8CF" w14:textId="77777777" w:rsidR="004467FE" w:rsidRPr="004467FE" w:rsidRDefault="004467FE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</w:rPr>
              <w:t>Cena jednostkowa brutto sprzętu wraz z dostawą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54E58" w14:textId="77777777" w:rsidR="004467FE" w:rsidRPr="000B2010" w:rsidRDefault="004467FE" w:rsidP="00992664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4467FE" w:rsidRPr="000B2010" w14:paraId="048B964F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64A68" w14:textId="77777777" w:rsidR="004467FE" w:rsidRPr="000114FC" w:rsidRDefault="004467FE" w:rsidP="0099266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4467FE">
              <w:rPr>
                <w:rFonts w:ascii="Garamond" w:hAnsi="Garamond"/>
                <w:b/>
                <w:sz w:val="22"/>
                <w:szCs w:val="22"/>
                <w:lang w:eastAsia="ar-SA"/>
              </w:rPr>
              <w:t>Komora do PCR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16747" w14:textId="77777777" w:rsidR="004467FE" w:rsidRPr="000B2010" w:rsidRDefault="004467FE" w:rsidP="0099266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CD10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901D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7A120C25" w14:textId="77777777" w:rsidR="004467FE" w:rsidRPr="000B2010" w:rsidRDefault="004467FE" w:rsidP="004467FE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4467FE" w:rsidRPr="000B2010" w14:paraId="1A1CBCE9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168D12B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D1D7C" w14:textId="77777777" w:rsidR="004467FE" w:rsidRPr="000B2010" w:rsidRDefault="004467FE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D10718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A16E3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4467FE" w:rsidRPr="000B2010" w14:paraId="36070CC5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B880432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15CBEF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3B3D342A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781AF6B" w14:textId="77777777" w:rsidR="004467FE" w:rsidRPr="000B2010" w:rsidRDefault="004467FE" w:rsidP="004467FE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4467FE" w:rsidRPr="000B2010" w14:paraId="30A24B06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336B25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4467FE" w:rsidRPr="000B2010" w14:paraId="701E8B90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5D250430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5EDD0341" w14:textId="77777777" w:rsidR="004467FE" w:rsidRPr="000B2010" w:rsidRDefault="004467FE" w:rsidP="004467FE">
      <w:pPr>
        <w:rPr>
          <w:rFonts w:ascii="Garamond" w:hAnsi="Garamond"/>
        </w:rPr>
      </w:pPr>
    </w:p>
    <w:p w14:paraId="5FD2BCD6" w14:textId="77777777" w:rsidR="004467FE" w:rsidRPr="000B2010" w:rsidRDefault="004467FE" w:rsidP="004467FE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4467FE" w:rsidRPr="000B2010" w14:paraId="006D6ACD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A350FC" w14:textId="77777777" w:rsidR="004467FE" w:rsidRPr="000B2010" w:rsidRDefault="004467FE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694F6" w14:textId="77777777" w:rsidR="004467FE" w:rsidRPr="000B2010" w:rsidRDefault="004467FE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00A6EE41" w14:textId="77777777" w:rsidR="004467FE" w:rsidRPr="000B2010" w:rsidRDefault="004467FE" w:rsidP="004467FE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1F0ED46F" w14:textId="77777777" w:rsidR="004467FE" w:rsidRPr="004467FE" w:rsidRDefault="004467FE" w:rsidP="004467FE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</w:p>
    <w:p w14:paraId="16F87ABB" w14:textId="77777777" w:rsidR="00BC771B" w:rsidRPr="004467FE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4467FE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14:paraId="55891F4D" w14:textId="77777777" w:rsidR="00BC771B" w:rsidRPr="004467FE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9105"/>
        <w:gridCol w:w="1559"/>
        <w:gridCol w:w="1701"/>
        <w:gridCol w:w="1701"/>
      </w:tblGrid>
      <w:tr w:rsidR="008A7E6F" w:rsidRPr="004467FE" w14:paraId="1BBC52D3" w14:textId="77777777" w:rsidTr="008A7E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2BA7C" w14:textId="77777777" w:rsidR="008A7E6F" w:rsidRPr="004467FE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8D940" w14:textId="77777777" w:rsidR="008A7E6F" w:rsidRPr="004467FE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F33A8E" w14:textId="77777777" w:rsidR="008A7E6F" w:rsidRPr="004467FE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1A05F2" w14:textId="77777777" w:rsidR="008A7E6F" w:rsidRPr="004467FE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DCC5" w14:textId="77777777" w:rsidR="008A7E6F" w:rsidRPr="004467FE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416DBD" w:rsidRPr="004467FE" w14:paraId="1555BA95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239CD" w14:textId="77777777" w:rsidR="00416DBD" w:rsidRPr="004467FE" w:rsidRDefault="00416DBD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03C73" w14:textId="77777777" w:rsidR="00416DBD" w:rsidRPr="004467FE" w:rsidRDefault="00273A1E" w:rsidP="00954F36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 xml:space="preserve">Komora wyposażona w otwartą lampę UV zainstalowaną w górnej części komory.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8BCC7D" w14:textId="77777777" w:rsidR="00416DBD" w:rsidRPr="004467FE" w:rsidRDefault="00416DBD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30A089" w14:textId="77777777" w:rsidR="00416DBD" w:rsidRPr="004467FE" w:rsidRDefault="00416DBD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B2C4" w14:textId="77777777" w:rsidR="00416DBD" w:rsidRPr="004467FE" w:rsidRDefault="00416DBD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4467FE" w14:paraId="22A0D0EA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3B482" w14:textId="77777777" w:rsidR="00416DBD" w:rsidRPr="004467FE" w:rsidRDefault="00416DBD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0928D" w14:textId="77777777" w:rsidR="00416DBD" w:rsidRPr="004467FE" w:rsidRDefault="00273A1E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 xml:space="preserve">Promieniowanie UV </w:t>
            </w:r>
            <w:r w:rsidR="004467FE">
              <w:rPr>
                <w:rFonts w:ascii="Garamond" w:eastAsia="Calibri" w:hAnsi="Garamond" w:cs="Times New Roman"/>
              </w:rPr>
              <w:t xml:space="preserve">zapewnia dezaktywacje </w:t>
            </w:r>
            <w:r w:rsidRPr="004467FE">
              <w:rPr>
                <w:rFonts w:ascii="Garamond" w:eastAsia="Calibri" w:hAnsi="Garamond" w:cs="Times New Roman"/>
              </w:rPr>
              <w:t>fragmentów DNA/RN</w:t>
            </w:r>
            <w:r w:rsidR="004467FE">
              <w:rPr>
                <w:rFonts w:ascii="Garamond" w:eastAsia="Calibri" w:hAnsi="Garamond" w:cs="Times New Roman"/>
              </w:rPr>
              <w:t>A w ciągu 15-30 min ekspozycji.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531553" w14:textId="77777777" w:rsidR="00416DBD" w:rsidRPr="004467FE" w:rsidRDefault="00416DBD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5CC6D" w14:textId="77777777" w:rsidR="00416DBD" w:rsidRPr="004467FE" w:rsidRDefault="00416DBD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18B7" w14:textId="77777777" w:rsidR="00416DBD" w:rsidRPr="004467FE" w:rsidRDefault="00416DBD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4467FE" w14:paraId="79AC8085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B6FD6" w14:textId="77777777" w:rsidR="00416DBD" w:rsidRPr="004467FE" w:rsidRDefault="00416DBD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E1B84" w14:textId="77777777" w:rsidR="00416DBD" w:rsidRPr="004467FE" w:rsidRDefault="00273A1E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 xml:space="preserve">Cyfrowy </w:t>
            </w:r>
            <w:proofErr w:type="spellStart"/>
            <w:r w:rsidRPr="004467FE">
              <w:rPr>
                <w:rFonts w:ascii="Garamond" w:eastAsia="Calibri" w:hAnsi="Garamond" w:cs="Times New Roman"/>
              </w:rPr>
              <w:t>timer</w:t>
            </w:r>
            <w:proofErr w:type="spellEnd"/>
            <w:r w:rsidRPr="004467FE">
              <w:rPr>
                <w:rFonts w:ascii="Garamond" w:eastAsia="Calibri" w:hAnsi="Garamond" w:cs="Times New Roman"/>
              </w:rPr>
              <w:t xml:space="preserve"> do kontroli czasu naświetlania. Lampa światła białego zapewnia</w:t>
            </w:r>
            <w:r w:rsidR="004467FE">
              <w:rPr>
                <w:rFonts w:ascii="Garamond" w:eastAsia="Calibri" w:hAnsi="Garamond" w:cs="Times New Roman"/>
              </w:rPr>
              <w:t>jąca</w:t>
            </w:r>
            <w:r w:rsidRPr="004467FE">
              <w:rPr>
                <w:rFonts w:ascii="Garamond" w:eastAsia="Calibri" w:hAnsi="Garamond" w:cs="Times New Roman"/>
              </w:rPr>
              <w:t xml:space="preserve"> właściwe oświetlenie powierzchni roboczej.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F26853" w14:textId="77777777" w:rsidR="00416DBD" w:rsidRPr="004467FE" w:rsidRDefault="00416DBD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91C09" w14:textId="77777777" w:rsidR="00416DBD" w:rsidRPr="004467FE" w:rsidRDefault="00416DBD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3DB0" w14:textId="77777777" w:rsidR="00416DBD" w:rsidRPr="004467FE" w:rsidRDefault="00416DBD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4467FE" w14:paraId="691C325E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B6A9F" w14:textId="77777777" w:rsidR="00416DBD" w:rsidRPr="004467FE" w:rsidRDefault="00416DBD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63CCA" w14:textId="77777777" w:rsidR="00416DBD" w:rsidRPr="004467FE" w:rsidRDefault="00273A1E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 xml:space="preserve">Komora wyposażona jest w przepływową lampę antybakteryjną UV, zapewniająca ciągłą dekontaminację </w:t>
            </w:r>
            <w:r w:rsidR="004467FE">
              <w:rPr>
                <w:rFonts w:ascii="Garamond" w:eastAsia="Calibri" w:hAnsi="Garamond" w:cs="Times New Roman"/>
              </w:rPr>
              <w:t>wewnątrz komory w czasie pracy.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16E1DB" w14:textId="77777777" w:rsidR="00416DBD" w:rsidRPr="004467FE" w:rsidRDefault="00416DBD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36B8B" w14:textId="77777777" w:rsidR="00416DBD" w:rsidRPr="004467FE" w:rsidRDefault="00416DBD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9D4C" w14:textId="77777777" w:rsidR="00416DBD" w:rsidRPr="004467FE" w:rsidRDefault="00416DBD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4467FE" w14:paraId="33ECB393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51E1B" w14:textId="77777777" w:rsidR="00416DBD" w:rsidRPr="004467FE" w:rsidRDefault="00416DBD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0E979" w14:textId="77777777" w:rsidR="005A7BE7" w:rsidRPr="004467FE" w:rsidRDefault="005A7BE7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>U</w:t>
            </w:r>
            <w:r w:rsidR="00273A1E" w:rsidRPr="004467FE">
              <w:rPr>
                <w:rFonts w:ascii="Garamond" w:eastAsia="Calibri" w:hAnsi="Garamond" w:cs="Times New Roman"/>
              </w:rPr>
              <w:t>żytkownik pracujący w komorze chroniony przed promieniowaniem UV</w:t>
            </w:r>
            <w:r w:rsidRPr="004467FE">
              <w:rPr>
                <w:rFonts w:ascii="Garamond" w:eastAsia="Calibri" w:hAnsi="Garamond" w:cs="Times New Roman"/>
              </w:rPr>
              <w:t xml:space="preserve"> poprzez </w:t>
            </w:r>
            <w:proofErr w:type="spellStart"/>
            <w:r w:rsidRPr="004467FE">
              <w:rPr>
                <w:rFonts w:ascii="Garamond" w:eastAsia="Calibri" w:hAnsi="Garamond" w:cs="Times New Roman"/>
              </w:rPr>
              <w:t>r</w:t>
            </w:r>
            <w:r w:rsidR="004467FE">
              <w:rPr>
                <w:rFonts w:ascii="Garamond" w:eastAsia="Calibri" w:hAnsi="Garamond" w:cs="Times New Roman"/>
              </w:rPr>
              <w:t>ecyrkulator</w:t>
            </w:r>
            <w:proofErr w:type="spellEnd"/>
            <w:r w:rsidR="004467FE">
              <w:rPr>
                <w:rFonts w:ascii="Garamond" w:eastAsia="Calibri" w:hAnsi="Garamond" w:cs="Times New Roman"/>
              </w:rPr>
              <w:t xml:space="preserve"> UV </w:t>
            </w:r>
            <w:r w:rsidRPr="004467FE">
              <w:rPr>
                <w:rFonts w:ascii="Garamond" w:eastAsia="Calibri" w:hAnsi="Garamond" w:cs="Times New Roman"/>
              </w:rPr>
              <w:t>zawierający lampę, wen</w:t>
            </w:r>
            <w:r w:rsidR="004467FE">
              <w:rPr>
                <w:rFonts w:ascii="Garamond" w:eastAsia="Calibri" w:hAnsi="Garamond" w:cs="Times New Roman"/>
              </w:rPr>
              <w:t xml:space="preserve">tylator i filtry </w:t>
            </w:r>
            <w:proofErr w:type="spellStart"/>
            <w:r w:rsidR="004467FE">
              <w:rPr>
                <w:rFonts w:ascii="Garamond" w:eastAsia="Calibri" w:hAnsi="Garamond" w:cs="Times New Roman"/>
              </w:rPr>
              <w:t>przeciwkurzowe</w:t>
            </w:r>
            <w:proofErr w:type="spellEnd"/>
            <w:r w:rsidR="004467FE">
              <w:rPr>
                <w:rFonts w:ascii="Garamond" w:eastAsia="Calibri" w:hAnsi="Garamond" w:cs="Times New Roman"/>
              </w:rPr>
              <w:t>.</w:t>
            </w:r>
          </w:p>
          <w:p w14:paraId="7BA97D94" w14:textId="77777777" w:rsidR="005A7BE7" w:rsidRPr="004467FE" w:rsidRDefault="005A7BE7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 xml:space="preserve">Aseptyczne warunki pracy wewnątrz komory zapewnione przetwarzaniem przez </w:t>
            </w:r>
            <w:proofErr w:type="spellStart"/>
            <w:r w:rsidRPr="004467FE">
              <w:rPr>
                <w:rFonts w:ascii="Garamond" w:eastAsia="Calibri" w:hAnsi="Garamond" w:cs="Times New Roman"/>
              </w:rPr>
              <w:t>recyrkulator</w:t>
            </w:r>
            <w:proofErr w:type="spellEnd"/>
          </w:p>
          <w:p w14:paraId="30438091" w14:textId="77777777" w:rsidR="00416DBD" w:rsidRPr="004467FE" w:rsidRDefault="005A7BE7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>UV 90</w:t>
            </w:r>
            <w:r w:rsidR="00273A1E" w:rsidRPr="004467FE">
              <w:rPr>
                <w:rFonts w:ascii="Garamond" w:eastAsia="Calibri" w:hAnsi="Garamond" w:cs="Times New Roman"/>
              </w:rPr>
              <w:t xml:space="preserve"> objętości komory na godzinę</w:t>
            </w:r>
            <w:r w:rsidR="004467FE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A80070" w14:textId="563434ED" w:rsidR="00416DBD" w:rsidRPr="004467FE" w:rsidRDefault="00416DBD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E96590">
              <w:rPr>
                <w:rFonts w:ascii="Garamond" w:eastAsia="Times New Roman" w:hAnsi="Garamond" w:cs="Times New Roman"/>
                <w:lang w:eastAsia="ar-SA"/>
              </w:rPr>
              <w:t xml:space="preserve">, </w:t>
            </w:r>
            <w:r w:rsidR="005A7BE7" w:rsidRPr="004467FE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58049" w14:textId="77777777" w:rsidR="00416DBD" w:rsidRPr="004467FE" w:rsidRDefault="00416DBD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41D1" w14:textId="77777777" w:rsidR="00416DBD" w:rsidRPr="004467FE" w:rsidRDefault="005A7BE7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90 – 0 pkt.</w:t>
            </w:r>
          </w:p>
          <w:p w14:paraId="1664CBD7" w14:textId="77777777" w:rsidR="005A7BE7" w:rsidRPr="004467FE" w:rsidRDefault="005A7BE7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Więcej  - 2 pkt.</w:t>
            </w:r>
          </w:p>
        </w:tc>
      </w:tr>
      <w:tr w:rsidR="00416DBD" w:rsidRPr="004467FE" w14:paraId="7BDCF537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1D849" w14:textId="77777777" w:rsidR="00416DBD" w:rsidRPr="004467FE" w:rsidRDefault="00416DBD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31FBE" w14:textId="77777777" w:rsidR="00416DBD" w:rsidRPr="004467FE" w:rsidRDefault="005A7BE7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>Żywotności</w:t>
            </w:r>
            <w:r w:rsidR="004467FE">
              <w:rPr>
                <w:rFonts w:ascii="Garamond" w:eastAsia="Calibri" w:hAnsi="Garamond" w:cs="Times New Roman"/>
              </w:rPr>
              <w:t xml:space="preserve"> lampy ok. </w:t>
            </w:r>
            <w:r w:rsidRPr="004467FE">
              <w:rPr>
                <w:rFonts w:ascii="Garamond" w:eastAsia="Calibri" w:hAnsi="Garamond" w:cs="Times New Roman"/>
              </w:rPr>
              <w:t>9</w:t>
            </w:r>
            <w:r w:rsidR="004467FE">
              <w:rPr>
                <w:rFonts w:ascii="Garamond" w:eastAsia="Calibri" w:hAnsi="Garamond" w:cs="Times New Roman"/>
              </w:rPr>
              <w:t xml:space="preserve"> </w:t>
            </w:r>
            <w:r w:rsidRPr="004467FE">
              <w:rPr>
                <w:rFonts w:ascii="Garamond" w:eastAsia="Calibri" w:hAnsi="Garamond" w:cs="Times New Roman"/>
              </w:rPr>
              <w:t>000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A590D7" w14:textId="24A4B139" w:rsidR="00416DBD" w:rsidRPr="004467FE" w:rsidRDefault="00416DBD" w:rsidP="00954F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E96590">
              <w:rPr>
                <w:rFonts w:ascii="Garamond" w:eastAsia="Times New Roman" w:hAnsi="Garamond" w:cs="Times New Roman"/>
                <w:lang w:eastAsia="ar-SA"/>
              </w:rPr>
              <w:t xml:space="preserve">, </w:t>
            </w:r>
            <w:r w:rsidR="005A7BE7" w:rsidRPr="004467FE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2799F" w14:textId="77777777" w:rsidR="00416DBD" w:rsidRPr="004467FE" w:rsidRDefault="00416DBD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A9B7" w14:textId="77777777" w:rsidR="00416DBD" w:rsidRPr="004467FE" w:rsidRDefault="000A0B58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9</w:t>
            </w:r>
            <w:r w:rsidR="004467FE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4467FE">
              <w:rPr>
                <w:rFonts w:ascii="Garamond" w:eastAsia="Times New Roman" w:hAnsi="Garamond" w:cs="Times New Roman"/>
                <w:lang w:eastAsia="ar-SA"/>
              </w:rPr>
              <w:t xml:space="preserve">000 </w:t>
            </w:r>
            <w:r w:rsidR="004467FE">
              <w:rPr>
                <w:rFonts w:ascii="Garamond" w:eastAsia="Times New Roman" w:hAnsi="Garamond" w:cs="Times New Roman"/>
                <w:lang w:eastAsia="ar-SA"/>
              </w:rPr>
              <w:t>godz. – 0</w:t>
            </w:r>
            <w:r w:rsidRPr="004467FE">
              <w:rPr>
                <w:rFonts w:ascii="Garamond" w:eastAsia="Times New Roman" w:hAnsi="Garamond" w:cs="Times New Roman"/>
                <w:lang w:eastAsia="ar-SA"/>
              </w:rPr>
              <w:t xml:space="preserve"> pkt.</w:t>
            </w:r>
          </w:p>
          <w:p w14:paraId="15ABD37C" w14:textId="77777777" w:rsidR="000A0B58" w:rsidRPr="004467FE" w:rsidRDefault="000A0B58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Większa – 2 pkt.</w:t>
            </w:r>
          </w:p>
        </w:tc>
      </w:tr>
      <w:tr w:rsidR="00416DBD" w:rsidRPr="004467FE" w14:paraId="170C06D0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82F85" w14:textId="77777777" w:rsidR="00416DBD" w:rsidRPr="004467FE" w:rsidRDefault="00416DBD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3FAED" w14:textId="77777777" w:rsidR="00416DBD" w:rsidRPr="004467FE" w:rsidRDefault="000A0B58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>Automatyczne wyłączanie otwartej lampy UV, gdy okno frontowe jest uniesione</w:t>
            </w:r>
            <w:r w:rsidR="004467FE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BE285F" w14:textId="77777777" w:rsidR="00416DBD" w:rsidRPr="004467FE" w:rsidRDefault="00416DBD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1F88EC" w14:textId="77777777" w:rsidR="00416DBD" w:rsidRPr="004467FE" w:rsidRDefault="00416DBD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995B" w14:textId="77777777" w:rsidR="00416DBD" w:rsidRPr="004467FE" w:rsidRDefault="00416DBD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4467FE" w14:paraId="270A90D9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E095E" w14:textId="77777777" w:rsidR="00416DBD" w:rsidRPr="004467FE" w:rsidRDefault="00416DBD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30A4" w14:textId="77777777" w:rsidR="00416DBD" w:rsidRPr="004467FE" w:rsidRDefault="000A0B58" w:rsidP="00954F36">
            <w:pPr>
              <w:spacing w:after="0"/>
              <w:ind w:left="50" w:right="72"/>
              <w:rPr>
                <w:rFonts w:ascii="Garamond" w:eastAsia="Times New Roman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</w:rPr>
              <w:t xml:space="preserve">Ściany ze </w:t>
            </w:r>
            <w:r w:rsidR="004467FE">
              <w:rPr>
                <w:rFonts w:ascii="Garamond" w:eastAsia="Times New Roman" w:hAnsi="Garamond" w:cs="Times New Roman"/>
              </w:rPr>
              <w:t>szkła odpornego na uszkodzenia.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D8E715" w14:textId="77777777" w:rsidR="00416DBD" w:rsidRPr="004467FE" w:rsidRDefault="00416DBD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5F2DC" w14:textId="77777777" w:rsidR="00416DBD" w:rsidRPr="004467FE" w:rsidRDefault="00416DBD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C0C8" w14:textId="77777777" w:rsidR="00416DBD" w:rsidRPr="004467FE" w:rsidRDefault="00416DBD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4467FE" w14:paraId="742A8683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3A6A7" w14:textId="77777777" w:rsidR="00416DBD" w:rsidRPr="004467FE" w:rsidRDefault="00416DBD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6B9F" w14:textId="2ADBFFAF" w:rsidR="00416DBD" w:rsidRPr="004467FE" w:rsidRDefault="004467FE" w:rsidP="00954F36">
            <w:pPr>
              <w:spacing w:after="0"/>
              <w:ind w:left="50" w:right="72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Stół do instalacji komory</w:t>
            </w:r>
            <w:r w:rsidR="00C12478">
              <w:rPr>
                <w:rFonts w:ascii="Garamond" w:eastAsia="Times New Roman" w:hAnsi="Garamond" w:cs="Times New Roman"/>
              </w:rPr>
              <w:t xml:space="preserve"> </w:t>
            </w:r>
            <w:r w:rsidR="00C12478">
              <w:rPr>
                <w:rFonts w:ascii="Garamond" w:eastAsia="Times New Roman" w:hAnsi="Garamond" w:cs="Times New Roman"/>
                <w:color w:val="FF0000"/>
              </w:rPr>
              <w:t>(2 szt.)</w:t>
            </w:r>
            <w:r w:rsidR="00C12478">
              <w:rPr>
                <w:rFonts w:ascii="Garamond" w:eastAsia="Times New Roman" w:hAnsi="Garamond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747F44" w14:textId="77777777" w:rsidR="00416DBD" w:rsidRPr="004467FE" w:rsidRDefault="00416DBD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4318A3" w14:textId="77777777" w:rsidR="00416DBD" w:rsidRPr="004467FE" w:rsidRDefault="00416DBD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0340" w14:textId="77777777" w:rsidR="00416DBD" w:rsidRPr="004467FE" w:rsidRDefault="00416DBD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26A85" w:rsidRPr="004467FE" w14:paraId="4F826981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1DCF" w14:textId="77777777" w:rsidR="00026A85" w:rsidRPr="004467FE" w:rsidRDefault="00026A85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E6963" w14:textId="339A5EBC" w:rsidR="00026A85" w:rsidRDefault="00026A85" w:rsidP="00954F36">
            <w:pPr>
              <w:spacing w:after="0"/>
              <w:ind w:left="50" w:right="72"/>
              <w:rPr>
                <w:rFonts w:ascii="Garamond" w:eastAsia="Times New Roman" w:hAnsi="Garamond" w:cs="Times New Roman"/>
              </w:rPr>
            </w:pPr>
            <w:proofErr w:type="spellStart"/>
            <w:r>
              <w:rPr>
                <w:rFonts w:ascii="Garamond" w:eastAsia="Times New Roman" w:hAnsi="Garamond" w:cs="Times New Roman"/>
              </w:rPr>
              <w:t>Timer</w:t>
            </w:r>
            <w:proofErr w:type="spellEnd"/>
            <w:r>
              <w:rPr>
                <w:rFonts w:ascii="Garamond" w:eastAsia="Times New Roman" w:hAnsi="Garamond" w:cs="Times New Roman"/>
              </w:rPr>
              <w:t xml:space="preserve"> </w:t>
            </w:r>
            <w:r w:rsidRPr="004467FE">
              <w:rPr>
                <w:rFonts w:ascii="Garamond" w:eastAsia="Times New Roman" w:hAnsi="Garamond" w:cs="Times New Roman"/>
              </w:rPr>
              <w:t>cyfrowy  ustawiania bezpośredniej ekspozycji UV 1 min – 24 godz. (krok co 1 min) / praca ciągła</w:t>
            </w:r>
            <w:r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EDD6FB" w14:textId="2BCAD459" w:rsidR="00026A85" w:rsidRPr="004467FE" w:rsidRDefault="00026A85" w:rsidP="00954F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D10C2" w14:textId="77777777" w:rsidR="00026A85" w:rsidRPr="004467FE" w:rsidRDefault="00026A8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B771" w14:textId="1F412A48" w:rsidR="00026A85" w:rsidRPr="004467FE" w:rsidRDefault="00026A85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26A85" w:rsidRPr="004467FE" w14:paraId="086D169F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74EBF" w14:textId="77777777" w:rsidR="00026A85" w:rsidRPr="004467FE" w:rsidRDefault="00026A85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4B24D" w14:textId="77777777" w:rsidR="00026A85" w:rsidRPr="004467FE" w:rsidRDefault="00026A85" w:rsidP="00954F36">
            <w:pPr>
              <w:spacing w:after="0"/>
              <w:ind w:right="72"/>
              <w:rPr>
                <w:rFonts w:ascii="Garamond" w:eastAsia="Times New Roman" w:hAnsi="Garamond" w:cs="Times New Roman"/>
              </w:rPr>
            </w:pPr>
            <w:proofErr w:type="spellStart"/>
            <w:r>
              <w:rPr>
                <w:rFonts w:ascii="Garamond" w:eastAsia="Times New Roman" w:hAnsi="Garamond" w:cs="Times New Roman"/>
              </w:rPr>
              <w:t>Recyrkulator</w:t>
            </w:r>
            <w:proofErr w:type="spellEnd"/>
            <w:r>
              <w:rPr>
                <w:rFonts w:ascii="Garamond" w:eastAsia="Times New Roman" w:hAnsi="Garamond" w:cs="Times New Roman"/>
              </w:rPr>
              <w:t xml:space="preserve"> UV [W] </w:t>
            </w:r>
            <w:r w:rsidRPr="004467FE">
              <w:rPr>
                <w:rFonts w:ascii="Garamond" w:eastAsia="Times New Roman" w:hAnsi="Garamond" w:cs="Times New Roman"/>
              </w:rPr>
              <w:t>1 x 30 (skuteczność &gt;99% / godz.)</w:t>
            </w:r>
            <w:r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0927A9" w14:textId="77777777" w:rsidR="00026A85" w:rsidRPr="004467FE" w:rsidRDefault="00026A85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3699E" w14:textId="77777777" w:rsidR="00026A85" w:rsidRPr="004467FE" w:rsidRDefault="00026A8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A978" w14:textId="77777777" w:rsidR="00026A85" w:rsidRPr="004467FE" w:rsidRDefault="00026A85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26A85" w:rsidRPr="004467FE" w14:paraId="1DC2042D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983D0" w14:textId="77777777" w:rsidR="00026A85" w:rsidRPr="004467FE" w:rsidRDefault="00026A85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2A949" w14:textId="77777777" w:rsidR="00026A85" w:rsidRPr="004467FE" w:rsidRDefault="00026A85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>Wbudowane 3 gniazda elektryczne, max. 1000 W</w:t>
            </w:r>
            <w:r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F556D9" w14:textId="77777777" w:rsidR="00026A85" w:rsidRPr="004467FE" w:rsidRDefault="00026A85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18A18" w14:textId="77777777" w:rsidR="00026A85" w:rsidRPr="004467FE" w:rsidRDefault="00026A8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643B" w14:textId="77777777" w:rsidR="00026A85" w:rsidRPr="004467FE" w:rsidRDefault="00026A85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Calibri" w:hAnsi="Garamond" w:cs="Times New Roman"/>
              </w:rPr>
              <w:t xml:space="preserve"> </w:t>
            </w:r>
          </w:p>
          <w:p w14:paraId="1970F70A" w14:textId="77777777" w:rsidR="00026A85" w:rsidRPr="004467FE" w:rsidRDefault="00026A85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  <w:tr w:rsidR="00026A85" w:rsidRPr="004467FE" w14:paraId="438B5BDF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703C2" w14:textId="77777777" w:rsidR="00026A85" w:rsidRPr="004467FE" w:rsidRDefault="00026A85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7FDA8" w14:textId="77777777" w:rsidR="00026A85" w:rsidRPr="004467FE" w:rsidRDefault="00026A85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>Skuteczność ochrony</w:t>
            </w:r>
            <w:r>
              <w:rPr>
                <w:rFonts w:ascii="Garamond" w:eastAsia="Calibri" w:hAnsi="Garamond" w:cs="Times New Roman"/>
              </w:rPr>
              <w:t xml:space="preserve"> przed UV</w:t>
            </w:r>
            <w:r w:rsidRPr="004467FE">
              <w:rPr>
                <w:rFonts w:ascii="Garamond" w:eastAsia="Calibri" w:hAnsi="Garamond" w:cs="Times New Roman"/>
              </w:rPr>
              <w:t xml:space="preserve"> min. 96 % z filtrem UV</w:t>
            </w:r>
            <w:r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5B05D4" w14:textId="08CBBF34" w:rsidR="00026A85" w:rsidRPr="004467FE" w:rsidRDefault="00026A85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 xml:space="preserve">Tak, </w:t>
            </w:r>
            <w:r w:rsidRPr="004467FE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B49CC" w14:textId="77777777" w:rsidR="00026A85" w:rsidRPr="004467FE" w:rsidRDefault="00026A8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B7ED" w14:textId="77777777" w:rsidR="00026A85" w:rsidRPr="004467FE" w:rsidRDefault="00026A85" w:rsidP="00954F36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 xml:space="preserve"> 96% – 0 pkt</w:t>
            </w:r>
          </w:p>
          <w:p w14:paraId="7F7EEE5D" w14:textId="77777777" w:rsidR="00026A85" w:rsidRPr="004467FE" w:rsidRDefault="00026A85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Calibri" w:hAnsi="Garamond" w:cs="Times New Roman"/>
              </w:rPr>
              <w:t>Więcej – 2 pkt</w:t>
            </w:r>
          </w:p>
        </w:tc>
      </w:tr>
      <w:tr w:rsidR="00026A85" w:rsidRPr="004467FE" w14:paraId="37CD391A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05E0A" w14:textId="77777777" w:rsidR="00026A85" w:rsidRPr="004467FE" w:rsidRDefault="00026A85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49248" w14:textId="77777777" w:rsidR="00026A85" w:rsidRPr="004467FE" w:rsidRDefault="00026A85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>Platforma robocza [mm] 1200 x 520 (+/- 5%)</w:t>
            </w:r>
            <w:r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DC962B" w14:textId="77777777" w:rsidR="00026A85" w:rsidRPr="004467FE" w:rsidRDefault="00026A85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79CA6F" w14:textId="77777777" w:rsidR="00026A85" w:rsidRPr="004467FE" w:rsidRDefault="00026A8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E3DC" w14:textId="77777777" w:rsidR="00026A85" w:rsidRPr="004467FE" w:rsidRDefault="00026A85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26A85" w:rsidRPr="004467FE" w14:paraId="1F5BB302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46D8A" w14:textId="77777777" w:rsidR="00026A85" w:rsidRPr="004467FE" w:rsidRDefault="00026A85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B31D5" w14:textId="77777777" w:rsidR="00026A85" w:rsidRPr="004467FE" w:rsidRDefault="00026A85" w:rsidP="00954F36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>Wymiary (W x D x H) [mm] 1245 x 585 x 585(+/- 5%)</w:t>
            </w:r>
            <w:r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738508" w14:textId="77777777" w:rsidR="00026A85" w:rsidRPr="004467FE" w:rsidRDefault="00026A85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356C7" w14:textId="77777777" w:rsidR="00026A85" w:rsidRPr="004467FE" w:rsidRDefault="00026A8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E617" w14:textId="77777777" w:rsidR="00026A85" w:rsidRPr="004467FE" w:rsidRDefault="00026A85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26A85" w:rsidRPr="004467FE" w14:paraId="1DA9665A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F257A" w14:textId="77777777" w:rsidR="00026A85" w:rsidRPr="004467FE" w:rsidRDefault="00026A85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D7351" w14:textId="77777777" w:rsidR="00026A85" w:rsidRPr="004467FE" w:rsidRDefault="00026A85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>Zasilan</w:t>
            </w:r>
            <w:r>
              <w:rPr>
                <w:rFonts w:ascii="Garamond" w:eastAsia="Calibri" w:hAnsi="Garamond" w:cs="Times New Roman"/>
              </w:rPr>
              <w:t xml:space="preserve">ie [V / </w:t>
            </w:r>
            <w:proofErr w:type="spellStart"/>
            <w:r>
              <w:rPr>
                <w:rFonts w:ascii="Garamond" w:eastAsia="Calibri" w:hAnsi="Garamond" w:cs="Times New Roman"/>
              </w:rPr>
              <w:t>Hz</w:t>
            </w:r>
            <w:proofErr w:type="spellEnd"/>
            <w:r>
              <w:rPr>
                <w:rFonts w:ascii="Garamond" w:eastAsia="Calibri" w:hAnsi="Garamond" w:cs="Times New Roman"/>
              </w:rPr>
              <w:t xml:space="preserve"> ] 230 / 50.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BDB488" w14:textId="77777777" w:rsidR="00026A85" w:rsidRPr="004467FE" w:rsidRDefault="00026A85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C39189" w14:textId="77777777" w:rsidR="00026A85" w:rsidRPr="004467FE" w:rsidRDefault="00026A8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FD39" w14:textId="77777777" w:rsidR="00026A85" w:rsidRPr="004467FE" w:rsidRDefault="00026A85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026A85" w:rsidRPr="004467FE" w14:paraId="4A877559" w14:textId="77777777" w:rsidTr="007D7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83AE1" w14:textId="77777777" w:rsidR="00026A85" w:rsidRPr="004467FE" w:rsidRDefault="00026A85" w:rsidP="008A7E6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lang w:eastAsia="ar-SA"/>
              </w:rPr>
              <w:lastRenderedPageBreak/>
              <w:t>Warunki energetyczne urządzenia</w:t>
            </w:r>
          </w:p>
        </w:tc>
      </w:tr>
      <w:tr w:rsidR="00026A85" w:rsidRPr="004467FE" w14:paraId="67C37EFD" w14:textId="77777777" w:rsidTr="007D7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A63B" w14:textId="77777777" w:rsidR="00026A85" w:rsidRPr="004467FE" w:rsidRDefault="00026A85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F098A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C063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53DB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D3BF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6EDB2265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026A85" w:rsidRPr="004467FE" w14:paraId="00CFC159" w14:textId="77777777" w:rsidTr="007D7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AB51" w14:textId="77777777" w:rsidR="00026A85" w:rsidRPr="004467FE" w:rsidRDefault="00026A85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8227C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C3A5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4731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E9C1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410891D7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026A85" w:rsidRPr="004467FE" w14:paraId="19FDDA41" w14:textId="77777777" w:rsidTr="007D7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1773" w14:textId="77777777" w:rsidR="00026A85" w:rsidRPr="004467FE" w:rsidRDefault="00026A85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55F62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Szkolenia dla personelu medycznego i technicznego w zakresie efektywności energetycznej urządzenia(2 medyczne, 1 techniczna)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1847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484A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1952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722F41D7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026A85" w:rsidRPr="004467FE" w14:paraId="340188FC" w14:textId="77777777" w:rsidTr="007D7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C0E9" w14:textId="77777777" w:rsidR="00026A85" w:rsidRPr="004467FE" w:rsidRDefault="00026A85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7878E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356A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13C0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14:paraId="11B08A7D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99E1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50C5169E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026A85" w:rsidRPr="004467FE" w14:paraId="295C14B7" w14:textId="77777777" w:rsidTr="007D7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005E" w14:textId="77777777" w:rsidR="00026A85" w:rsidRPr="004467FE" w:rsidRDefault="00026A85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7E14D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Trwałość 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27EE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B118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EB8A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3785F6DC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026A85" w:rsidRPr="004467FE" w14:paraId="74A26C29" w14:textId="77777777" w:rsidTr="007D7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6C33" w14:textId="77777777" w:rsidR="00026A85" w:rsidRPr="004467FE" w:rsidRDefault="00026A85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AB173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Możliwość automatycznego przechodzenia urządzenia w tryb czuwania/niskiego poboru mocy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66937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0DB1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074F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40AE2A88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14:paraId="161C490C" w14:textId="77777777" w:rsidR="00BC771B" w:rsidRPr="004467FE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562B176B" w14:textId="77777777" w:rsidR="00BC771B" w:rsidRPr="004467FE" w:rsidRDefault="005838E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4467FE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843"/>
        <w:gridCol w:w="1559"/>
      </w:tblGrid>
      <w:tr w:rsidR="00BC771B" w:rsidRPr="004467FE" w14:paraId="513C8773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E3757" w14:textId="77777777" w:rsidR="00BC771B" w:rsidRPr="004467FE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EBC8" w14:textId="77777777" w:rsidR="00BC771B" w:rsidRPr="004467FE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B3611" w14:textId="77777777" w:rsidR="00BC771B" w:rsidRPr="004467FE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5FEEB" w14:textId="77777777" w:rsidR="00BC771B" w:rsidRPr="004467FE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67EA" w14:textId="77777777" w:rsidR="00BC771B" w:rsidRPr="004467FE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4467FE" w14:paraId="5EBF6563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21F8" w14:textId="77777777" w:rsidR="00966E35" w:rsidRPr="004467FE" w:rsidRDefault="00966E35" w:rsidP="00954F3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4DCBF" w14:textId="77777777" w:rsidR="00966E35" w:rsidRPr="004467FE" w:rsidRDefault="00966E35" w:rsidP="00954F36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467FE">
              <w:rPr>
                <w:rFonts w:ascii="Garamond" w:hAnsi="Garamond" w:cs="Times New Roman"/>
                <w:color w:val="000000" w:themeColor="text1"/>
              </w:rPr>
              <w:t>Okres gwarancji dla wszystkich głównych składników oferty oraz współpracujących z nimi urządzeń  [liczba miesięcy]</w:t>
            </w:r>
          </w:p>
          <w:p w14:paraId="72E540F5" w14:textId="77777777" w:rsidR="002A222D" w:rsidRPr="004467FE" w:rsidRDefault="002A222D" w:rsidP="00954F36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467FE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9F256" w14:textId="77777777" w:rsidR="00966E35" w:rsidRPr="004467FE" w:rsidRDefault="00C83FFD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2A67C" w14:textId="77777777" w:rsidR="00966E35" w:rsidRPr="004467FE" w:rsidRDefault="00966E3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A356" w14:textId="77777777" w:rsidR="00C83FFD" w:rsidRPr="004467FE" w:rsidRDefault="00C83FFD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420BEE3D" w14:textId="77777777" w:rsidR="00966E35" w:rsidRPr="004467FE" w:rsidRDefault="00C83FFD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966E35" w:rsidRPr="004467FE" w14:paraId="048F9E9C" w14:textId="77777777" w:rsidTr="00954F3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6EE3" w14:textId="77777777" w:rsidR="00966E35" w:rsidRPr="004467FE" w:rsidRDefault="00966E35" w:rsidP="00954F3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7F832" w14:textId="77777777" w:rsidR="00966E35" w:rsidRPr="004467FE" w:rsidRDefault="00966E35" w:rsidP="00954F36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467FE">
              <w:rPr>
                <w:rFonts w:ascii="Garamond" w:hAnsi="Garamond" w:cs="Times New Roman"/>
                <w:color w:val="000000" w:themeColor="text1"/>
              </w:rPr>
              <w:t>Gwarancja produkcji części zamie</w:t>
            </w:r>
            <w:r w:rsidR="007D71CD">
              <w:rPr>
                <w:rFonts w:ascii="Garamond" w:hAnsi="Garamond" w:cs="Times New Roman"/>
                <w:color w:val="000000" w:themeColor="text1"/>
              </w:rPr>
              <w:t>nnych [liczba lat] – min. 8 lat.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96836" w14:textId="77777777" w:rsidR="00966E35" w:rsidRPr="004467FE" w:rsidRDefault="007D71CD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FB57B" w14:textId="77777777" w:rsidR="00966E35" w:rsidRPr="004467FE" w:rsidRDefault="00966E3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3608" w14:textId="77777777" w:rsidR="00966E35" w:rsidRPr="004467FE" w:rsidRDefault="00B866E3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4467FE" w14:paraId="5EAF4BE0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48803" w14:textId="77777777" w:rsidR="00966E35" w:rsidRPr="004467FE" w:rsidRDefault="00966E35" w:rsidP="00954F3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29D8D" w14:textId="77777777" w:rsidR="00966E35" w:rsidRPr="004467FE" w:rsidRDefault="00966E35" w:rsidP="00954F36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467FE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7D71CD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3087C" w14:textId="77777777" w:rsidR="00966E35" w:rsidRPr="004467FE" w:rsidRDefault="007D71CD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943DB" w14:textId="77777777" w:rsidR="00966E35" w:rsidRPr="004467FE" w:rsidRDefault="00966E35" w:rsidP="00954F36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F4FC" w14:textId="77777777" w:rsidR="00966E35" w:rsidRPr="004467FE" w:rsidRDefault="00966E35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4467FE" w14:paraId="7BDBD068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EB289" w14:textId="77777777" w:rsidR="00966E35" w:rsidRPr="004467FE" w:rsidRDefault="00966E35" w:rsidP="00954F36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3E34D" w14:textId="77777777" w:rsidR="00966E35" w:rsidRPr="004467FE" w:rsidRDefault="00966E3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7D71C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3B6EB" w14:textId="77777777" w:rsidR="00966E35" w:rsidRPr="004467FE" w:rsidRDefault="007D71CD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D4D2F" w14:textId="77777777" w:rsidR="00966E35" w:rsidRPr="004467FE" w:rsidRDefault="00966E3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C8A2" w14:textId="77777777" w:rsidR="00966E35" w:rsidRPr="004467FE" w:rsidRDefault="00966E35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jeden – 5 pkt, więcej – 0 pkt</w:t>
            </w:r>
          </w:p>
        </w:tc>
      </w:tr>
      <w:tr w:rsidR="00966E35" w:rsidRPr="004467FE" w14:paraId="716182F3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712A7" w14:textId="77777777" w:rsidR="00966E35" w:rsidRPr="004467FE" w:rsidRDefault="00966E35" w:rsidP="00954F36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367A8" w14:textId="77777777" w:rsidR="00966E35" w:rsidRPr="004467FE" w:rsidRDefault="00966E3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7D71C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C93CF" w14:textId="77777777" w:rsidR="00966E35" w:rsidRPr="004467FE" w:rsidRDefault="005838E5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4467FE">
              <w:rPr>
                <w:rFonts w:ascii="Garamond" w:eastAsia="Times New Roman" w:hAnsi="Garamond" w:cs="Times New Roman"/>
                <w:lang w:eastAsia="ar-SA"/>
              </w:rPr>
              <w:t>odać</w:t>
            </w:r>
            <w:r w:rsidRPr="004467FE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F6F19" w14:textId="77777777" w:rsidR="00966E35" w:rsidRPr="004467FE" w:rsidRDefault="00966E3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F882" w14:textId="77777777" w:rsidR="00966E35" w:rsidRPr="004467FE" w:rsidRDefault="00966E35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5838E5" w:rsidRPr="004467FE">
              <w:rPr>
                <w:rFonts w:ascii="Garamond" w:eastAsia="Times New Roman" w:hAnsi="Garamond" w:cs="Times New Roman"/>
                <w:lang w:eastAsia="ar-SA"/>
              </w:rPr>
              <w:t>- 5 pkt.</w:t>
            </w:r>
          </w:p>
          <w:p w14:paraId="334B78AE" w14:textId="77777777" w:rsidR="005838E5" w:rsidRPr="004467FE" w:rsidRDefault="005838E5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44E99904" w14:textId="77777777" w:rsidR="00BC771B" w:rsidRPr="004467FE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50A0084B" w14:textId="77777777" w:rsidR="00BC771B" w:rsidRPr="004467FE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266AF6EB" w14:textId="77777777" w:rsidR="00BC771B" w:rsidRPr="004467FE" w:rsidRDefault="007D71CD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4467FE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843"/>
        <w:gridCol w:w="1559"/>
      </w:tblGrid>
      <w:tr w:rsidR="00BC771B" w:rsidRPr="004467FE" w14:paraId="02200090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F6EC2" w14:textId="77777777" w:rsidR="00BC771B" w:rsidRPr="004467FE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FD11" w14:textId="77777777" w:rsidR="00BC771B" w:rsidRPr="004467FE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140EF" w14:textId="77777777" w:rsidR="00BC771B" w:rsidRPr="004467FE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B670" w14:textId="77777777" w:rsidR="00BC771B" w:rsidRPr="004467FE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C792" w14:textId="77777777" w:rsidR="00BC771B" w:rsidRPr="004467FE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7D71CD" w:rsidRPr="004467FE" w14:paraId="11624E81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24398" w14:textId="77777777" w:rsidR="007D71CD" w:rsidRPr="004467FE" w:rsidRDefault="007D71CD" w:rsidP="007D71C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7E94C" w14:textId="77777777" w:rsidR="007D71CD" w:rsidRPr="004467FE" w:rsidRDefault="007D71CD" w:rsidP="007D71CD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467FE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  <w:r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DF99A" w14:textId="77777777" w:rsidR="007D71CD" w:rsidRDefault="007D71CD" w:rsidP="007D71CD">
            <w:pPr>
              <w:spacing w:after="0"/>
              <w:jc w:val="center"/>
            </w:pPr>
            <w:r w:rsidRPr="002A58A7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5F7D" w14:textId="77777777" w:rsidR="007D71CD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1062" w14:textId="77777777" w:rsidR="007D71CD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D71CD" w:rsidRPr="004467FE" w14:paraId="18F8FDBC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689C" w14:textId="77777777" w:rsidR="007D71CD" w:rsidRPr="004467FE" w:rsidRDefault="007D71CD" w:rsidP="007D71C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CF90" w14:textId="77777777" w:rsidR="007D71CD" w:rsidRPr="004467FE" w:rsidRDefault="007D71CD" w:rsidP="007D71CD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467FE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  <w:r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68535" w14:textId="77777777" w:rsidR="007D71CD" w:rsidRDefault="007D71CD" w:rsidP="007D71CD">
            <w:pPr>
              <w:jc w:val="center"/>
            </w:pPr>
            <w:r w:rsidRPr="002A58A7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F715" w14:textId="77777777" w:rsidR="007D71CD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9647" w14:textId="77777777" w:rsidR="007D71CD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D71CD" w:rsidRPr="004467FE" w14:paraId="32063F64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AC3E8" w14:textId="77777777" w:rsidR="007D71CD" w:rsidRPr="004467FE" w:rsidRDefault="007D71CD" w:rsidP="007D71C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4E02" w14:textId="29F0CD2D" w:rsidR="007D71CD" w:rsidRPr="004467FE" w:rsidRDefault="007D71CD" w:rsidP="007D71CD">
            <w:pPr>
              <w:pStyle w:val="Lista-kontynuacja24"/>
              <w:snapToGrid w:val="0"/>
              <w:spacing w:before="60" w:after="6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="00130EFE" w:rsidRPr="00130EFE">
              <w:rPr>
                <w:rFonts w:ascii="Garamond" w:hAnsi="Garamond"/>
                <w:color w:val="000000" w:themeColor="text1"/>
                <w:sz w:val="22"/>
                <w:szCs w:val="22"/>
              </w:rPr>
              <w:t>1 dzień roboczy.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F7B71" w14:textId="77777777" w:rsidR="007D71CD" w:rsidRDefault="007D71CD" w:rsidP="007D71CD">
            <w:pPr>
              <w:jc w:val="center"/>
            </w:pPr>
            <w:r w:rsidRPr="002A58A7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7A49" w14:textId="77777777" w:rsidR="007D71CD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335C" w14:textId="77777777" w:rsidR="007D71CD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D71CD" w:rsidRPr="004467FE" w14:paraId="5AFB1846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AB98B" w14:textId="77777777" w:rsidR="007D71CD" w:rsidRPr="004467FE" w:rsidRDefault="007D71CD" w:rsidP="007D71C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CD7A5" w14:textId="77777777" w:rsidR="007D71CD" w:rsidRPr="004467FE" w:rsidRDefault="007D71CD" w:rsidP="007D71CD">
            <w:pPr>
              <w:pStyle w:val="Lista-kontynuacja24"/>
              <w:snapToGrid w:val="0"/>
              <w:spacing w:before="60" w:after="6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zgłoszeń 24h/dobę, 365 dni/rok.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C017" w14:textId="77777777" w:rsidR="007D71CD" w:rsidRDefault="007D71CD" w:rsidP="007D71CD">
            <w:pPr>
              <w:jc w:val="center"/>
            </w:pPr>
            <w:r w:rsidRPr="002A58A7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029A" w14:textId="77777777" w:rsidR="007D71CD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BC64" w14:textId="77777777" w:rsidR="007D71CD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4467FE" w14:paraId="2B0C8A43" w14:textId="77777777" w:rsidTr="00954F36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F2E5D" w14:textId="77777777" w:rsidR="00E42DA8" w:rsidRPr="004467FE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8612" w14:textId="77777777" w:rsidR="00E42DA8" w:rsidRPr="004467FE" w:rsidRDefault="00E42DA8" w:rsidP="008A7E6F">
            <w:pPr>
              <w:pStyle w:val="Lista-kontynuacja24"/>
              <w:snapToGrid w:val="0"/>
              <w:spacing w:before="60" w:after="6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E23C0" w14:textId="77777777" w:rsidR="00E42DA8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53F7" w14:textId="77777777" w:rsidR="00E42DA8" w:rsidRPr="004467FE" w:rsidRDefault="00E42DA8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150E" w14:textId="77777777" w:rsidR="00E42DA8" w:rsidRPr="004467FE" w:rsidRDefault="00E42DA8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4467FE" w14:paraId="48EA3677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0ED75" w14:textId="77777777" w:rsidR="00E42DA8" w:rsidRPr="004467FE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24F0F" w14:textId="77777777" w:rsidR="00E42DA8" w:rsidRPr="004467FE" w:rsidRDefault="00E42DA8" w:rsidP="008A7E6F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467FE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FDD12" w14:textId="77777777" w:rsidR="00E42DA8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E796" w14:textId="77777777" w:rsidR="00E42DA8" w:rsidRPr="004467FE" w:rsidRDefault="00E42DA8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3C7C" w14:textId="77777777" w:rsidR="00E42DA8" w:rsidRPr="004467FE" w:rsidRDefault="00E42DA8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4467FE" w14:paraId="26F85931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4FC4" w14:textId="77777777" w:rsidR="00E42DA8" w:rsidRPr="004467FE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8F88D" w14:textId="77777777" w:rsidR="00E42DA8" w:rsidRPr="004467FE" w:rsidRDefault="00E42DA8" w:rsidP="008A7E6F">
            <w:pPr>
              <w:tabs>
                <w:tab w:val="left" w:pos="0"/>
              </w:tabs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467FE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43E12" w14:textId="77777777" w:rsidR="00E42DA8" w:rsidRPr="004467FE" w:rsidRDefault="00E42DA8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1453" w14:textId="77777777" w:rsidR="00E42DA8" w:rsidRPr="004467FE" w:rsidRDefault="00E42DA8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A18C" w14:textId="77777777" w:rsidR="00E42DA8" w:rsidRPr="004467FE" w:rsidRDefault="00B866E3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4467FE" w14:paraId="4A2C367C" w14:textId="77777777" w:rsidTr="00954F36">
        <w:tblPrEx>
          <w:tblBorders>
            <w:top w:val="single" w:sz="4" w:space="0" w:color="auto"/>
          </w:tblBorders>
        </w:tblPrEx>
        <w:trPr>
          <w:gridBefore w:val="4"/>
          <w:wBefore w:w="13042" w:type="dxa"/>
          <w:trHeight w:val="100"/>
        </w:trPr>
        <w:tc>
          <w:tcPr>
            <w:tcW w:w="1559" w:type="dxa"/>
            <w:tcBorders>
              <w:top w:val="single" w:sz="4" w:space="0" w:color="auto"/>
            </w:tcBorders>
          </w:tcPr>
          <w:p w14:paraId="208284C5" w14:textId="77777777" w:rsidR="00E42DA8" w:rsidRPr="004467FE" w:rsidRDefault="00E42DA8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1D330060" w14:textId="77777777" w:rsidR="00041E4B" w:rsidRPr="004467FE" w:rsidRDefault="00041E4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48A227BC" w14:textId="77777777" w:rsidR="00BC771B" w:rsidRPr="004467FE" w:rsidRDefault="007D71CD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4467FE">
        <w:rPr>
          <w:rFonts w:ascii="Garamond" w:eastAsia="Times New Roman" w:hAnsi="Garamond" w:cs="Times New Roman"/>
          <w:b/>
          <w:lang w:eastAsia="ar-SA"/>
        </w:rPr>
        <w:t>SZKOLENIA</w:t>
      </w:r>
    </w:p>
    <w:p w14:paraId="0FDB2E5E" w14:textId="77777777" w:rsidR="00BC771B" w:rsidRPr="004467FE" w:rsidRDefault="00BC771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546" w:type="dxa"/>
        <w:tblLayout w:type="fixed"/>
        <w:tblLook w:val="04A0" w:firstRow="1" w:lastRow="0" w:firstColumn="1" w:lastColumn="0" w:noHBand="0" w:noVBand="1"/>
      </w:tblPr>
      <w:tblGrid>
        <w:gridCol w:w="513"/>
        <w:gridCol w:w="8809"/>
        <w:gridCol w:w="1843"/>
        <w:gridCol w:w="1843"/>
        <w:gridCol w:w="1538"/>
      </w:tblGrid>
      <w:tr w:rsidR="008A7E6F" w:rsidRPr="004467FE" w14:paraId="71567EF2" w14:textId="77777777" w:rsidTr="00954F36">
        <w:trPr>
          <w:trHeight w:val="454"/>
        </w:trPr>
        <w:tc>
          <w:tcPr>
            <w:tcW w:w="513" w:type="dxa"/>
            <w:vAlign w:val="center"/>
          </w:tcPr>
          <w:p w14:paraId="668E822B" w14:textId="77777777" w:rsidR="008A7E6F" w:rsidRPr="004467FE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lastRenderedPageBreak/>
              <w:t>LP</w:t>
            </w:r>
          </w:p>
        </w:tc>
        <w:tc>
          <w:tcPr>
            <w:tcW w:w="8809" w:type="dxa"/>
            <w:vAlign w:val="center"/>
          </w:tcPr>
          <w:p w14:paraId="0424AA67" w14:textId="77777777" w:rsidR="008A7E6F" w:rsidRPr="004467FE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0DA9F1C9" w14:textId="77777777" w:rsidR="008A7E6F" w:rsidRPr="004467FE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4BAD609E" w14:textId="77777777" w:rsidR="008A7E6F" w:rsidRPr="004467FE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38" w:type="dxa"/>
          </w:tcPr>
          <w:p w14:paraId="55607ADE" w14:textId="77777777" w:rsidR="008A7E6F" w:rsidRPr="004467FE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4467FE" w14:paraId="56E049A1" w14:textId="77777777" w:rsidTr="00954F36">
        <w:trPr>
          <w:trHeight w:val="324"/>
        </w:trPr>
        <w:tc>
          <w:tcPr>
            <w:tcW w:w="513" w:type="dxa"/>
          </w:tcPr>
          <w:p w14:paraId="1E510420" w14:textId="77777777" w:rsidR="00B866E3" w:rsidRPr="004467FE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809" w:type="dxa"/>
            <w:vAlign w:val="center"/>
          </w:tcPr>
          <w:p w14:paraId="2517FCFE" w14:textId="77777777" w:rsidR="00B866E3" w:rsidRPr="004467FE" w:rsidRDefault="00B14FD0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S</w:t>
            </w:r>
            <w:r w:rsidR="00B866E3" w:rsidRPr="004467FE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zkolenia</w:t>
            </w:r>
            <w:r w:rsidR="007D71CD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w trakcie dostawy i instalacji.</w:t>
            </w:r>
          </w:p>
        </w:tc>
        <w:tc>
          <w:tcPr>
            <w:tcW w:w="1843" w:type="dxa"/>
            <w:vAlign w:val="center"/>
          </w:tcPr>
          <w:p w14:paraId="24516D0C" w14:textId="77777777" w:rsidR="00B866E3" w:rsidRPr="004467FE" w:rsidRDefault="00B866E3" w:rsidP="00E42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62D137DB" w14:textId="77777777" w:rsidR="00B866E3" w:rsidRPr="004467FE" w:rsidRDefault="00B866E3" w:rsidP="00BC771B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38" w:type="dxa"/>
            <w:vAlign w:val="center"/>
          </w:tcPr>
          <w:p w14:paraId="0F58A5E0" w14:textId="77777777" w:rsidR="00B866E3" w:rsidRPr="004467FE" w:rsidRDefault="00B866E3" w:rsidP="00B86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4467FE" w14:paraId="766DE383" w14:textId="77777777" w:rsidTr="00954F36">
        <w:trPr>
          <w:trHeight w:val="811"/>
        </w:trPr>
        <w:tc>
          <w:tcPr>
            <w:tcW w:w="513" w:type="dxa"/>
          </w:tcPr>
          <w:p w14:paraId="75759BB9" w14:textId="77777777" w:rsidR="00B866E3" w:rsidRPr="004467FE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809" w:type="dxa"/>
            <w:vAlign w:val="center"/>
          </w:tcPr>
          <w:p w14:paraId="3BE3FA2C" w14:textId="77777777" w:rsidR="00B866E3" w:rsidRPr="004467FE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</w:rPr>
              <w:t>Szkolenia dla personelu technicznego (min. 2 oso</w:t>
            </w:r>
            <w:r w:rsidR="00B14FD0" w:rsidRPr="004467FE">
              <w:rPr>
                <w:rFonts w:ascii="Garamond" w:hAnsi="Garamond"/>
                <w:sz w:val="22"/>
                <w:szCs w:val="22"/>
              </w:rPr>
              <w:t xml:space="preserve">by </w:t>
            </w:r>
            <w:r w:rsidRPr="004467FE">
              <w:rPr>
                <w:rFonts w:ascii="Garamond" w:hAnsi="Garamond"/>
                <w:sz w:val="22"/>
                <w:szCs w:val="22"/>
              </w:rPr>
              <w:t>) z zakresu podstawowej diagnostyki stanu technicznego i wykonywania podstawowych czynności konserwacyjny</w:t>
            </w:r>
            <w:r w:rsidR="007D71CD">
              <w:rPr>
                <w:rFonts w:ascii="Garamond" w:hAnsi="Garamond"/>
                <w:sz w:val="22"/>
                <w:szCs w:val="22"/>
              </w:rPr>
              <w:t>ch, naprawczych i przeglądowych.</w:t>
            </w:r>
          </w:p>
        </w:tc>
        <w:tc>
          <w:tcPr>
            <w:tcW w:w="1843" w:type="dxa"/>
            <w:vAlign w:val="center"/>
          </w:tcPr>
          <w:p w14:paraId="34014E77" w14:textId="77777777" w:rsidR="00B866E3" w:rsidRPr="004467FE" w:rsidRDefault="00B866E3" w:rsidP="00E42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312BF4F6" w14:textId="77777777" w:rsidR="00B866E3" w:rsidRPr="004467FE" w:rsidRDefault="00B866E3" w:rsidP="00BC771B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38" w:type="dxa"/>
            <w:vAlign w:val="center"/>
          </w:tcPr>
          <w:p w14:paraId="7E615103" w14:textId="77777777" w:rsidR="00B866E3" w:rsidRPr="004467FE" w:rsidRDefault="00B866E3" w:rsidP="00B86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70BE0981" w14:textId="77777777" w:rsidR="00BC771B" w:rsidRPr="004467FE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57F8FE0" w14:textId="77777777" w:rsidR="00BC771B" w:rsidRPr="004467FE" w:rsidRDefault="007D71CD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4467FE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49BF6183" w14:textId="77777777" w:rsidR="00BC771B" w:rsidRPr="004467FE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4"/>
        <w:gridCol w:w="8788"/>
        <w:gridCol w:w="1843"/>
        <w:gridCol w:w="1843"/>
        <w:gridCol w:w="1559"/>
      </w:tblGrid>
      <w:tr w:rsidR="008A7E6F" w:rsidRPr="004467FE" w14:paraId="4A33F26A" w14:textId="77777777" w:rsidTr="00954F36">
        <w:tc>
          <w:tcPr>
            <w:tcW w:w="534" w:type="dxa"/>
            <w:vAlign w:val="center"/>
          </w:tcPr>
          <w:p w14:paraId="4E0CAFF6" w14:textId="77777777" w:rsidR="008A7E6F" w:rsidRPr="004467FE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788" w:type="dxa"/>
            <w:vAlign w:val="center"/>
          </w:tcPr>
          <w:p w14:paraId="57C7543F" w14:textId="77777777" w:rsidR="008A7E6F" w:rsidRPr="004467FE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14F7D399" w14:textId="77777777" w:rsidR="008A7E6F" w:rsidRPr="004467FE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027D5ED7" w14:textId="77777777" w:rsidR="008A7E6F" w:rsidRPr="004467FE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  <w:vAlign w:val="center"/>
          </w:tcPr>
          <w:p w14:paraId="1EAC11CF" w14:textId="77777777" w:rsidR="008A7E6F" w:rsidRPr="004467FE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4467FE" w14:paraId="52CBDCAD" w14:textId="77777777" w:rsidTr="00954F36">
        <w:tc>
          <w:tcPr>
            <w:tcW w:w="534" w:type="dxa"/>
          </w:tcPr>
          <w:p w14:paraId="45E7B089" w14:textId="77777777" w:rsidR="00B866E3" w:rsidRPr="004467FE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</w:tcPr>
          <w:p w14:paraId="646C646A" w14:textId="77777777" w:rsidR="00B866E3" w:rsidRPr="004467FE" w:rsidRDefault="00B866E3" w:rsidP="00DF2B72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</w:t>
            </w:r>
            <w:r w:rsidR="008A7E6F"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mie elektronicznej i drukowanej</w:t>
            </w: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(przekazane w momencie dostawy dla każdego egzemplarza) – dotyczy także urządzeń peryferyjnych</w:t>
            </w:r>
            <w:r w:rsidR="007D71CD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2D551EE2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358E9EEA" w14:textId="77777777" w:rsidR="00B866E3" w:rsidRPr="004467FE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3B73568B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4467FE" w14:paraId="46801C5D" w14:textId="77777777" w:rsidTr="00954F36">
        <w:tc>
          <w:tcPr>
            <w:tcW w:w="534" w:type="dxa"/>
          </w:tcPr>
          <w:p w14:paraId="71DDABF1" w14:textId="77777777" w:rsidR="00B866E3" w:rsidRPr="004467FE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</w:tcPr>
          <w:p w14:paraId="601A273F" w14:textId="77777777" w:rsidR="00B866E3" w:rsidRPr="004467FE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  <w:r w:rsidR="007D71CD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66608EE6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215706CA" w14:textId="77777777" w:rsidR="00B866E3" w:rsidRPr="004467FE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22AC492E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4467FE" w14:paraId="39C7F431" w14:textId="77777777" w:rsidTr="00954F36">
        <w:tc>
          <w:tcPr>
            <w:tcW w:w="534" w:type="dxa"/>
          </w:tcPr>
          <w:p w14:paraId="3BCCED88" w14:textId="77777777" w:rsidR="00B866E3" w:rsidRPr="004467FE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  <w:vAlign w:val="center"/>
          </w:tcPr>
          <w:p w14:paraId="3FC15AC4" w14:textId="77777777" w:rsidR="00B866E3" w:rsidRPr="004467FE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  <w:r w:rsidR="007D71CD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  <w:p w14:paraId="77C3DB4E" w14:textId="77777777" w:rsidR="00B866E3" w:rsidRPr="004467FE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  <w:r w:rsidR="007D71CD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2FC131D4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21A15A79" w14:textId="77777777" w:rsidR="00B866E3" w:rsidRPr="004467FE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4618A03C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4467FE" w14:paraId="140FF3D8" w14:textId="77777777" w:rsidTr="00954F36">
        <w:tc>
          <w:tcPr>
            <w:tcW w:w="534" w:type="dxa"/>
          </w:tcPr>
          <w:p w14:paraId="46EFBFD6" w14:textId="77777777" w:rsidR="00B866E3" w:rsidRPr="004467FE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  <w:vAlign w:val="center"/>
          </w:tcPr>
          <w:p w14:paraId="769F4BE1" w14:textId="77777777" w:rsidR="00B866E3" w:rsidRPr="004467FE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  <w:r w:rsidR="007D71CD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582F0075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1E315CF3" w14:textId="77777777" w:rsidR="00B866E3" w:rsidRPr="004467FE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66C7A4F3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4467FE" w14:paraId="7118101A" w14:textId="77777777" w:rsidTr="00954F36">
        <w:tc>
          <w:tcPr>
            <w:tcW w:w="534" w:type="dxa"/>
          </w:tcPr>
          <w:p w14:paraId="430A58B8" w14:textId="77777777" w:rsidR="00B866E3" w:rsidRPr="004467FE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</w:tcPr>
          <w:p w14:paraId="7EFA6DF8" w14:textId="77777777" w:rsidR="00B866E3" w:rsidRPr="004467FE" w:rsidRDefault="00B866E3" w:rsidP="00DF2B72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843" w:type="dxa"/>
            <w:vAlign w:val="center"/>
          </w:tcPr>
          <w:p w14:paraId="6859CF35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586F17DE" w14:textId="77777777" w:rsidR="00B866E3" w:rsidRPr="004467FE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38F383E7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03778DE0" w14:textId="18A2113C" w:rsidR="00BC771B" w:rsidRPr="00BC771B" w:rsidRDefault="00BC771B" w:rsidP="00BC77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BC771B" w:rsidRPr="00BC771B" w:rsidSect="008A7E6F">
      <w:headerReference w:type="default" r:id="rId8"/>
      <w:footerReference w:type="default" r:id="rId9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9B2D7" w14:textId="77777777" w:rsidR="00F1764B" w:rsidRDefault="00F1764B" w:rsidP="002B10C5">
      <w:pPr>
        <w:spacing w:after="0" w:line="240" w:lineRule="auto"/>
      </w:pPr>
      <w:r>
        <w:separator/>
      </w:r>
    </w:p>
  </w:endnote>
  <w:endnote w:type="continuationSeparator" w:id="0">
    <w:p w14:paraId="5B9C49F9" w14:textId="77777777" w:rsidR="00F1764B" w:rsidRDefault="00F1764B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6"/>
        <w:szCs w:val="16"/>
      </w:rPr>
      <w:id w:val="56052492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08D2E" w14:textId="4ED83C72" w:rsidR="00663C99" w:rsidRPr="00663C99" w:rsidRDefault="00663C99">
            <w:pPr>
              <w:pStyle w:val="Stopka"/>
              <w:jc w:val="center"/>
              <w:rPr>
                <w:rFonts w:ascii="Garamond" w:hAnsi="Garamond"/>
                <w:sz w:val="16"/>
                <w:szCs w:val="16"/>
              </w:rPr>
            </w:pPr>
            <w:r w:rsidRPr="00663C99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663C99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663C99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663C99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C1247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663C99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663C99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663C99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663C99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663C99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C1247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663C99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9D4DC80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7DE8F" w14:textId="77777777" w:rsidR="00F1764B" w:rsidRDefault="00F1764B" w:rsidP="002B10C5">
      <w:pPr>
        <w:spacing w:after="0" w:line="240" w:lineRule="auto"/>
      </w:pPr>
      <w:r>
        <w:separator/>
      </w:r>
    </w:p>
  </w:footnote>
  <w:footnote w:type="continuationSeparator" w:id="0">
    <w:p w14:paraId="31B177BF" w14:textId="77777777" w:rsidR="00F1764B" w:rsidRDefault="00F1764B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56A84" w14:textId="147CA004" w:rsidR="004467FE" w:rsidRDefault="004467FE" w:rsidP="00AE656C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752" behindDoc="0" locked="0" layoutInCell="1" allowOverlap="1" wp14:anchorId="55C71CAA" wp14:editId="52A37DB9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>część 3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7E0437B8" w14:textId="77777777" w:rsidR="004467FE" w:rsidRPr="00B15D8E" w:rsidRDefault="004467FE" w:rsidP="00AE656C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B71E9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9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3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20"/>
  </w:num>
  <w:num w:numId="6">
    <w:abstractNumId w:val="26"/>
  </w:num>
  <w:num w:numId="7">
    <w:abstractNumId w:val="31"/>
  </w:num>
  <w:num w:numId="8">
    <w:abstractNumId w:val="14"/>
  </w:num>
  <w:num w:numId="9">
    <w:abstractNumId w:val="11"/>
  </w:num>
  <w:num w:numId="10">
    <w:abstractNumId w:val="27"/>
  </w:num>
  <w:num w:numId="11">
    <w:abstractNumId w:val="10"/>
  </w:num>
  <w:num w:numId="12">
    <w:abstractNumId w:val="21"/>
  </w:num>
  <w:num w:numId="13">
    <w:abstractNumId w:val="16"/>
  </w:num>
  <w:num w:numId="14">
    <w:abstractNumId w:val="24"/>
  </w:num>
  <w:num w:numId="15">
    <w:abstractNumId w:val="23"/>
  </w:num>
  <w:num w:numId="16">
    <w:abstractNumId w:val="17"/>
  </w:num>
  <w:num w:numId="17">
    <w:abstractNumId w:val="5"/>
  </w:num>
  <w:num w:numId="18">
    <w:abstractNumId w:val="9"/>
  </w:num>
  <w:num w:numId="19">
    <w:abstractNumId w:val="7"/>
  </w:num>
  <w:num w:numId="20">
    <w:abstractNumId w:val="22"/>
  </w:num>
  <w:num w:numId="21">
    <w:abstractNumId w:val="30"/>
  </w:num>
  <w:num w:numId="22">
    <w:abstractNumId w:val="6"/>
  </w:num>
  <w:num w:numId="23">
    <w:abstractNumId w:val="33"/>
  </w:num>
  <w:num w:numId="24">
    <w:abstractNumId w:val="19"/>
  </w:num>
  <w:num w:numId="25">
    <w:abstractNumId w:val="13"/>
  </w:num>
  <w:num w:numId="26">
    <w:abstractNumId w:val="32"/>
  </w:num>
  <w:num w:numId="27">
    <w:abstractNumId w:val="18"/>
  </w:num>
  <w:num w:numId="28">
    <w:abstractNumId w:val="29"/>
  </w:num>
  <w:num w:numId="29">
    <w:abstractNumId w:val="28"/>
  </w:num>
  <w:num w:numId="30">
    <w:abstractNumId w:val="25"/>
  </w:num>
  <w:num w:numId="3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385B"/>
    <w:rsid w:val="00026A85"/>
    <w:rsid w:val="0003473F"/>
    <w:rsid w:val="00041E4B"/>
    <w:rsid w:val="000439CB"/>
    <w:rsid w:val="000472D7"/>
    <w:rsid w:val="00062621"/>
    <w:rsid w:val="00063146"/>
    <w:rsid w:val="0006612C"/>
    <w:rsid w:val="000800FB"/>
    <w:rsid w:val="00082567"/>
    <w:rsid w:val="000872C6"/>
    <w:rsid w:val="000A01C5"/>
    <w:rsid w:val="000A0B58"/>
    <w:rsid w:val="000A42E2"/>
    <w:rsid w:val="000B3F15"/>
    <w:rsid w:val="000C38A6"/>
    <w:rsid w:val="000D0B99"/>
    <w:rsid w:val="000E296E"/>
    <w:rsid w:val="0010528F"/>
    <w:rsid w:val="00106FA1"/>
    <w:rsid w:val="00107E9C"/>
    <w:rsid w:val="00127C35"/>
    <w:rsid w:val="00130EFE"/>
    <w:rsid w:val="00153000"/>
    <w:rsid w:val="001703BB"/>
    <w:rsid w:val="00186665"/>
    <w:rsid w:val="001903D2"/>
    <w:rsid w:val="00195D24"/>
    <w:rsid w:val="001A26B2"/>
    <w:rsid w:val="001C5AC0"/>
    <w:rsid w:val="001D2107"/>
    <w:rsid w:val="001D7920"/>
    <w:rsid w:val="001F722D"/>
    <w:rsid w:val="001F741A"/>
    <w:rsid w:val="00224229"/>
    <w:rsid w:val="00226290"/>
    <w:rsid w:val="00226C7E"/>
    <w:rsid w:val="00230493"/>
    <w:rsid w:val="002418CF"/>
    <w:rsid w:val="00243245"/>
    <w:rsid w:val="00252F4E"/>
    <w:rsid w:val="00264D89"/>
    <w:rsid w:val="00273A1E"/>
    <w:rsid w:val="00275E43"/>
    <w:rsid w:val="002764C3"/>
    <w:rsid w:val="00281C87"/>
    <w:rsid w:val="00297630"/>
    <w:rsid w:val="002A222D"/>
    <w:rsid w:val="002B1075"/>
    <w:rsid w:val="002B10C5"/>
    <w:rsid w:val="002D4404"/>
    <w:rsid w:val="002E6120"/>
    <w:rsid w:val="002E7641"/>
    <w:rsid w:val="0030258C"/>
    <w:rsid w:val="00315266"/>
    <w:rsid w:val="0031723C"/>
    <w:rsid w:val="00330BAA"/>
    <w:rsid w:val="00336D33"/>
    <w:rsid w:val="00344584"/>
    <w:rsid w:val="0035006A"/>
    <w:rsid w:val="003502EB"/>
    <w:rsid w:val="00361E18"/>
    <w:rsid w:val="003816D4"/>
    <w:rsid w:val="00386BDE"/>
    <w:rsid w:val="003870C0"/>
    <w:rsid w:val="00396262"/>
    <w:rsid w:val="00397214"/>
    <w:rsid w:val="00397243"/>
    <w:rsid w:val="003A130B"/>
    <w:rsid w:val="003A5949"/>
    <w:rsid w:val="003A61A6"/>
    <w:rsid w:val="003D437E"/>
    <w:rsid w:val="003F0246"/>
    <w:rsid w:val="003F25EF"/>
    <w:rsid w:val="003F38D6"/>
    <w:rsid w:val="00416DBD"/>
    <w:rsid w:val="00420195"/>
    <w:rsid w:val="00431206"/>
    <w:rsid w:val="00444EC2"/>
    <w:rsid w:val="004467FE"/>
    <w:rsid w:val="004537A6"/>
    <w:rsid w:val="00482C2F"/>
    <w:rsid w:val="004950AC"/>
    <w:rsid w:val="004A3639"/>
    <w:rsid w:val="004A4815"/>
    <w:rsid w:val="004A4DB7"/>
    <w:rsid w:val="004A5A93"/>
    <w:rsid w:val="004B19AD"/>
    <w:rsid w:val="004B5E68"/>
    <w:rsid w:val="004D22FC"/>
    <w:rsid w:val="004D3253"/>
    <w:rsid w:val="004D4C72"/>
    <w:rsid w:val="004D6C65"/>
    <w:rsid w:val="00505CFB"/>
    <w:rsid w:val="0053297A"/>
    <w:rsid w:val="0054058A"/>
    <w:rsid w:val="005439ED"/>
    <w:rsid w:val="005518B8"/>
    <w:rsid w:val="0055762C"/>
    <w:rsid w:val="0057034C"/>
    <w:rsid w:val="00574E66"/>
    <w:rsid w:val="005838E5"/>
    <w:rsid w:val="00585CE5"/>
    <w:rsid w:val="00595A76"/>
    <w:rsid w:val="00596542"/>
    <w:rsid w:val="005A233B"/>
    <w:rsid w:val="005A6E64"/>
    <w:rsid w:val="005A7BE7"/>
    <w:rsid w:val="005C2DEE"/>
    <w:rsid w:val="005C6D9B"/>
    <w:rsid w:val="00602393"/>
    <w:rsid w:val="00604D5A"/>
    <w:rsid w:val="00617EC5"/>
    <w:rsid w:val="006309BF"/>
    <w:rsid w:val="006359AC"/>
    <w:rsid w:val="00647553"/>
    <w:rsid w:val="00660D6E"/>
    <w:rsid w:val="00662669"/>
    <w:rsid w:val="00663C99"/>
    <w:rsid w:val="006645D9"/>
    <w:rsid w:val="00682BFE"/>
    <w:rsid w:val="006C132C"/>
    <w:rsid w:val="006C703C"/>
    <w:rsid w:val="006E09BB"/>
    <w:rsid w:val="006F4B69"/>
    <w:rsid w:val="00711126"/>
    <w:rsid w:val="00716F0E"/>
    <w:rsid w:val="00741D21"/>
    <w:rsid w:val="007475D7"/>
    <w:rsid w:val="00751EE5"/>
    <w:rsid w:val="0075675A"/>
    <w:rsid w:val="00782D28"/>
    <w:rsid w:val="00795D24"/>
    <w:rsid w:val="007B4693"/>
    <w:rsid w:val="007B64B7"/>
    <w:rsid w:val="007C42CC"/>
    <w:rsid w:val="007D2398"/>
    <w:rsid w:val="007D5E92"/>
    <w:rsid w:val="007D71CD"/>
    <w:rsid w:val="007D7F03"/>
    <w:rsid w:val="007E240F"/>
    <w:rsid w:val="007E41E1"/>
    <w:rsid w:val="008028E8"/>
    <w:rsid w:val="0082224E"/>
    <w:rsid w:val="00827157"/>
    <w:rsid w:val="008273A2"/>
    <w:rsid w:val="008518D5"/>
    <w:rsid w:val="0085403C"/>
    <w:rsid w:val="008612F0"/>
    <w:rsid w:val="008674A7"/>
    <w:rsid w:val="00877102"/>
    <w:rsid w:val="0088133C"/>
    <w:rsid w:val="008920BA"/>
    <w:rsid w:val="008A3B0A"/>
    <w:rsid w:val="008A497B"/>
    <w:rsid w:val="008A75B4"/>
    <w:rsid w:val="008A7E6F"/>
    <w:rsid w:val="008B0660"/>
    <w:rsid w:val="008B6348"/>
    <w:rsid w:val="008B79CC"/>
    <w:rsid w:val="008D4A4F"/>
    <w:rsid w:val="008E4B96"/>
    <w:rsid w:val="008E779E"/>
    <w:rsid w:val="009029F8"/>
    <w:rsid w:val="00907DC8"/>
    <w:rsid w:val="00914129"/>
    <w:rsid w:val="00922BE9"/>
    <w:rsid w:val="00925ECB"/>
    <w:rsid w:val="009319E1"/>
    <w:rsid w:val="009324AF"/>
    <w:rsid w:val="0093379E"/>
    <w:rsid w:val="00940170"/>
    <w:rsid w:val="009418B4"/>
    <w:rsid w:val="00953659"/>
    <w:rsid w:val="00954F36"/>
    <w:rsid w:val="00966E35"/>
    <w:rsid w:val="00973978"/>
    <w:rsid w:val="00980A6D"/>
    <w:rsid w:val="00984712"/>
    <w:rsid w:val="00990671"/>
    <w:rsid w:val="009943A2"/>
    <w:rsid w:val="009A2FE1"/>
    <w:rsid w:val="009A4A4B"/>
    <w:rsid w:val="009B0ED9"/>
    <w:rsid w:val="009B600A"/>
    <w:rsid w:val="009C0147"/>
    <w:rsid w:val="009D51C7"/>
    <w:rsid w:val="00A010C4"/>
    <w:rsid w:val="00A06BA0"/>
    <w:rsid w:val="00A12E1A"/>
    <w:rsid w:val="00A172A0"/>
    <w:rsid w:val="00A31FEF"/>
    <w:rsid w:val="00A37445"/>
    <w:rsid w:val="00A609DF"/>
    <w:rsid w:val="00A61441"/>
    <w:rsid w:val="00A67CC0"/>
    <w:rsid w:val="00A75281"/>
    <w:rsid w:val="00A8133F"/>
    <w:rsid w:val="00A821D9"/>
    <w:rsid w:val="00A827FC"/>
    <w:rsid w:val="00A83419"/>
    <w:rsid w:val="00A944AC"/>
    <w:rsid w:val="00AA4EE4"/>
    <w:rsid w:val="00AE0249"/>
    <w:rsid w:val="00AE0EA6"/>
    <w:rsid w:val="00AE27BB"/>
    <w:rsid w:val="00AE656C"/>
    <w:rsid w:val="00AF3299"/>
    <w:rsid w:val="00AF7709"/>
    <w:rsid w:val="00B06439"/>
    <w:rsid w:val="00B10F4C"/>
    <w:rsid w:val="00B14FD0"/>
    <w:rsid w:val="00B2065F"/>
    <w:rsid w:val="00B20B77"/>
    <w:rsid w:val="00B32911"/>
    <w:rsid w:val="00B33D13"/>
    <w:rsid w:val="00B72884"/>
    <w:rsid w:val="00B80BC2"/>
    <w:rsid w:val="00B866E3"/>
    <w:rsid w:val="00B935A3"/>
    <w:rsid w:val="00BA1B97"/>
    <w:rsid w:val="00BC771B"/>
    <w:rsid w:val="00BD6659"/>
    <w:rsid w:val="00BE7B7B"/>
    <w:rsid w:val="00C0379C"/>
    <w:rsid w:val="00C10E44"/>
    <w:rsid w:val="00C12478"/>
    <w:rsid w:val="00C253BF"/>
    <w:rsid w:val="00C2669F"/>
    <w:rsid w:val="00C331A9"/>
    <w:rsid w:val="00C55181"/>
    <w:rsid w:val="00C62F9D"/>
    <w:rsid w:val="00C64C0B"/>
    <w:rsid w:val="00C75220"/>
    <w:rsid w:val="00C811E5"/>
    <w:rsid w:val="00C83FFD"/>
    <w:rsid w:val="00C84DE2"/>
    <w:rsid w:val="00C953A5"/>
    <w:rsid w:val="00CC1C73"/>
    <w:rsid w:val="00CC22CF"/>
    <w:rsid w:val="00CD258A"/>
    <w:rsid w:val="00CD5141"/>
    <w:rsid w:val="00CD64E3"/>
    <w:rsid w:val="00CE0BB7"/>
    <w:rsid w:val="00CE31C4"/>
    <w:rsid w:val="00CF3443"/>
    <w:rsid w:val="00D1524D"/>
    <w:rsid w:val="00D15933"/>
    <w:rsid w:val="00D15F1D"/>
    <w:rsid w:val="00D17BF5"/>
    <w:rsid w:val="00D34B80"/>
    <w:rsid w:val="00D44B05"/>
    <w:rsid w:val="00D61D89"/>
    <w:rsid w:val="00D73EB9"/>
    <w:rsid w:val="00D83B61"/>
    <w:rsid w:val="00D93C7F"/>
    <w:rsid w:val="00D97F42"/>
    <w:rsid w:val="00DA12A3"/>
    <w:rsid w:val="00DA1FA2"/>
    <w:rsid w:val="00DA4169"/>
    <w:rsid w:val="00DA6106"/>
    <w:rsid w:val="00DC0D0E"/>
    <w:rsid w:val="00DC0D2C"/>
    <w:rsid w:val="00DC7F16"/>
    <w:rsid w:val="00DF2B72"/>
    <w:rsid w:val="00DF3D22"/>
    <w:rsid w:val="00E27249"/>
    <w:rsid w:val="00E350B5"/>
    <w:rsid w:val="00E42DA8"/>
    <w:rsid w:val="00E504BC"/>
    <w:rsid w:val="00E50DAF"/>
    <w:rsid w:val="00E54929"/>
    <w:rsid w:val="00E72C94"/>
    <w:rsid w:val="00E96590"/>
    <w:rsid w:val="00EA2BCD"/>
    <w:rsid w:val="00EA6DEC"/>
    <w:rsid w:val="00EB5E99"/>
    <w:rsid w:val="00EC18E8"/>
    <w:rsid w:val="00EC6DB9"/>
    <w:rsid w:val="00EC7C3F"/>
    <w:rsid w:val="00EE37A8"/>
    <w:rsid w:val="00EE4173"/>
    <w:rsid w:val="00EF0AFB"/>
    <w:rsid w:val="00EF562F"/>
    <w:rsid w:val="00F1764B"/>
    <w:rsid w:val="00F32718"/>
    <w:rsid w:val="00F33599"/>
    <w:rsid w:val="00F34EF1"/>
    <w:rsid w:val="00F4576E"/>
    <w:rsid w:val="00F61FA1"/>
    <w:rsid w:val="00F65B8E"/>
    <w:rsid w:val="00F85098"/>
    <w:rsid w:val="00F95A0E"/>
    <w:rsid w:val="00F96703"/>
    <w:rsid w:val="00FA2BC1"/>
    <w:rsid w:val="00FA3DE1"/>
    <w:rsid w:val="00FA424E"/>
    <w:rsid w:val="00FA47B5"/>
    <w:rsid w:val="00FA72BE"/>
    <w:rsid w:val="00FD0608"/>
    <w:rsid w:val="00FE260C"/>
    <w:rsid w:val="00FF319F"/>
    <w:rsid w:val="00FF3BB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6EE8FC"/>
  <w15:docId w15:val="{C8C555A2-C15E-42A9-80DF-8FB797CA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93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0ED5-AE4E-437C-B675-CD832E90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6</cp:revision>
  <cp:lastPrinted>2019-05-29T08:32:00Z</cp:lastPrinted>
  <dcterms:created xsi:type="dcterms:W3CDTF">2019-06-06T08:44:00Z</dcterms:created>
  <dcterms:modified xsi:type="dcterms:W3CDTF">2019-07-12T13:02:00Z</dcterms:modified>
</cp:coreProperties>
</file>