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615" w:rsidRDefault="00AB0615" w:rsidP="00AB0615">
      <w:pPr>
        <w:tabs>
          <w:tab w:val="left" w:pos="1099"/>
        </w:tabs>
        <w:spacing w:line="200" w:lineRule="atLeast"/>
        <w:jc w:val="both"/>
        <w:rPr>
          <w:rFonts w:ascii="Bookman Old Style" w:hAnsi="Bookman Old Style"/>
          <w:sz w:val="20"/>
          <w:szCs w:val="20"/>
          <w:lang w:val="pl-PL"/>
        </w:rPr>
      </w:pPr>
    </w:p>
    <w:p w:rsidR="00AB0615" w:rsidRPr="00185AD7" w:rsidRDefault="00AB0615" w:rsidP="00AB0615">
      <w:pPr>
        <w:rPr>
          <w:rFonts w:ascii="Bookman Old Style" w:hAnsi="Bookman Old Style"/>
          <w:sz w:val="24"/>
          <w:szCs w:val="24"/>
          <w:lang w:val="pl-PL"/>
        </w:rPr>
      </w:pPr>
    </w:p>
    <w:p w:rsidR="0075039E" w:rsidRPr="0075039E" w:rsidRDefault="0075039E" w:rsidP="0075039E">
      <w:pPr>
        <w:rPr>
          <w:rFonts w:ascii="Garamond" w:hAnsi="Garamond"/>
          <w:lang w:val="pl-PL"/>
        </w:rPr>
      </w:pPr>
      <w:r w:rsidRPr="0075039E">
        <w:rPr>
          <w:rFonts w:ascii="Garamond" w:hAnsi="Garamond"/>
          <w:lang w:val="pl-PL"/>
        </w:rPr>
        <w:t>Numer sprawy: NSSU.DFP.271.25.2019.KK</w:t>
      </w:r>
      <w:r w:rsidRPr="0075039E">
        <w:rPr>
          <w:lang w:val="pl-PL"/>
        </w:rPr>
        <w:t xml:space="preserve"> </w:t>
      </w:r>
      <w:r w:rsidRPr="0075039E">
        <w:rPr>
          <w:lang w:val="pl-PL"/>
        </w:rPr>
        <w:tab/>
      </w:r>
      <w:r w:rsidRPr="0075039E">
        <w:rPr>
          <w:lang w:val="pl-PL"/>
        </w:rPr>
        <w:tab/>
      </w:r>
      <w:r w:rsidRPr="0075039E">
        <w:rPr>
          <w:lang w:val="pl-PL"/>
        </w:rPr>
        <w:tab/>
      </w:r>
      <w:r w:rsidRPr="0075039E">
        <w:rPr>
          <w:lang w:val="pl-PL"/>
        </w:rPr>
        <w:tab/>
        <w:t xml:space="preserve">   </w:t>
      </w:r>
      <w:r w:rsidR="00B542F7">
        <w:rPr>
          <w:lang w:val="pl-PL"/>
        </w:rPr>
        <w:t xml:space="preserve">  </w:t>
      </w:r>
      <w:r w:rsidRPr="0075039E">
        <w:rPr>
          <w:lang w:val="pl-PL"/>
        </w:rPr>
        <w:t xml:space="preserve">  </w:t>
      </w:r>
      <w:bookmarkStart w:id="0" w:name="_GoBack"/>
      <w:bookmarkEnd w:id="0"/>
      <w:r w:rsidR="00E80251" w:rsidRPr="00E80251">
        <w:rPr>
          <w:rFonts w:ascii="Garamond" w:hAnsi="Garamond"/>
          <w:lang w:val="pl-PL"/>
        </w:rPr>
        <w:t>Kraków, dnia 20</w:t>
      </w:r>
      <w:r w:rsidRPr="00E80251">
        <w:rPr>
          <w:rFonts w:ascii="Garamond" w:hAnsi="Garamond"/>
          <w:lang w:val="pl-PL"/>
        </w:rPr>
        <w:t>.01.2020 r.</w:t>
      </w:r>
    </w:p>
    <w:p w:rsidR="0075039E" w:rsidRPr="0075039E" w:rsidRDefault="0075039E" w:rsidP="0075039E">
      <w:pPr>
        <w:rPr>
          <w:rFonts w:ascii="Garamond" w:hAnsi="Garamond"/>
          <w:lang w:val="pl-PL"/>
        </w:rPr>
      </w:pPr>
    </w:p>
    <w:p w:rsidR="0075039E" w:rsidRPr="0075039E" w:rsidRDefault="0075039E" w:rsidP="0075039E">
      <w:pPr>
        <w:rPr>
          <w:rFonts w:ascii="Garamond" w:hAnsi="Garamond"/>
          <w:lang w:val="pl-PL"/>
        </w:rPr>
      </w:pPr>
      <w:r w:rsidRPr="0075039E">
        <w:rPr>
          <w:rFonts w:ascii="Garamond" w:hAnsi="Garamond"/>
          <w:lang w:val="pl-PL"/>
        </w:rPr>
        <w:tab/>
      </w:r>
      <w:r w:rsidRPr="0075039E">
        <w:rPr>
          <w:rFonts w:ascii="Garamond" w:hAnsi="Garamond"/>
          <w:lang w:val="pl-PL"/>
        </w:rPr>
        <w:tab/>
      </w:r>
      <w:r w:rsidRPr="0075039E">
        <w:rPr>
          <w:rFonts w:ascii="Garamond" w:hAnsi="Garamond"/>
          <w:lang w:val="pl-PL"/>
        </w:rPr>
        <w:tab/>
      </w:r>
      <w:r w:rsidRPr="0075039E">
        <w:rPr>
          <w:rFonts w:ascii="Garamond" w:hAnsi="Garamond"/>
          <w:color w:val="FF0000"/>
          <w:lang w:val="pl-PL"/>
        </w:rPr>
        <w:t xml:space="preserve"> </w:t>
      </w:r>
      <w:r w:rsidRPr="0075039E">
        <w:rPr>
          <w:rFonts w:ascii="Garamond" w:hAnsi="Garamond"/>
          <w:lang w:val="pl-PL"/>
        </w:rPr>
        <w:t xml:space="preserve">      </w:t>
      </w:r>
    </w:p>
    <w:p w:rsidR="0075039E" w:rsidRPr="0075039E" w:rsidRDefault="0075039E" w:rsidP="0075039E">
      <w:pPr>
        <w:keepNext/>
        <w:widowControl/>
        <w:jc w:val="center"/>
        <w:outlineLvl w:val="0"/>
        <w:rPr>
          <w:rFonts w:ascii="Garamond" w:eastAsia="Times New Roman" w:hAnsi="Garamond"/>
          <w:b/>
          <w:lang w:val="pl-PL" w:eastAsia="x-none"/>
        </w:rPr>
      </w:pPr>
      <w:r w:rsidRPr="0075039E">
        <w:rPr>
          <w:rFonts w:ascii="Garamond" w:eastAsia="Times New Roman" w:hAnsi="Garamond"/>
          <w:b/>
          <w:lang w:val="pl-PL" w:eastAsia="x-none"/>
        </w:rPr>
        <w:t>ZAWIADOMIENIE O UNIEWAŻNIENIU POSTĘPOWANIA</w:t>
      </w:r>
    </w:p>
    <w:p w:rsidR="0075039E" w:rsidRPr="0075039E" w:rsidRDefault="0075039E" w:rsidP="0075039E">
      <w:pPr>
        <w:widowControl/>
        <w:rPr>
          <w:rFonts w:ascii="Garamond" w:eastAsia="Times New Roman" w:hAnsi="Garamond"/>
          <w:b/>
          <w:lang w:val="x-none" w:eastAsia="x-none"/>
        </w:rPr>
      </w:pPr>
    </w:p>
    <w:p w:rsidR="0075039E" w:rsidRPr="0075039E" w:rsidRDefault="0075039E" w:rsidP="0075039E">
      <w:pPr>
        <w:widowControl/>
        <w:rPr>
          <w:rFonts w:ascii="Garamond" w:eastAsia="Times New Roman" w:hAnsi="Garamond"/>
          <w:lang w:val="pl-PL" w:eastAsia="pl-PL"/>
        </w:rPr>
      </w:pPr>
    </w:p>
    <w:p w:rsidR="0075039E" w:rsidRPr="0075039E" w:rsidRDefault="0075039E" w:rsidP="0075039E">
      <w:pPr>
        <w:ind w:firstLine="708"/>
        <w:jc w:val="both"/>
        <w:rPr>
          <w:rFonts w:ascii="Garamond" w:hAnsi="Garamond"/>
          <w:b/>
          <w:lang w:val="pl-PL"/>
        </w:rPr>
      </w:pPr>
      <w:r w:rsidRPr="0075039E">
        <w:rPr>
          <w:rFonts w:ascii="Garamond" w:hAnsi="Garamond"/>
          <w:lang w:val="pl-PL"/>
        </w:rPr>
        <w:t xml:space="preserve">Na podstawie art. 92 ust. 1 i 2 ustawy Prawo zamówień publicznych po ponownej ocenie przedstawiam informację o wyniku postępowania o udzielenie zamówienia publicznego </w:t>
      </w:r>
      <w:r w:rsidRPr="0075039E">
        <w:rPr>
          <w:rFonts w:ascii="Garamond" w:hAnsi="Garamond"/>
          <w:b/>
          <w:color w:val="000000"/>
          <w:lang w:val="pl-PL"/>
        </w:rPr>
        <w:t>na dostawę infrastruktury serwerowej wraz z oprogramowaniem.</w:t>
      </w:r>
    </w:p>
    <w:p w:rsidR="0075039E" w:rsidRPr="0075039E" w:rsidRDefault="0075039E" w:rsidP="0075039E">
      <w:pPr>
        <w:ind w:firstLine="708"/>
        <w:jc w:val="both"/>
        <w:rPr>
          <w:rFonts w:ascii="Garamond" w:hAnsi="Garamond"/>
          <w:lang w:val="pl-PL"/>
        </w:rPr>
      </w:pPr>
    </w:p>
    <w:p w:rsidR="0075039E" w:rsidRPr="0075039E" w:rsidRDefault="0075039E" w:rsidP="0075039E">
      <w:pPr>
        <w:jc w:val="both"/>
        <w:rPr>
          <w:rFonts w:ascii="Garamond" w:hAnsi="Garamond"/>
          <w:lang w:val="pl-PL"/>
        </w:rPr>
      </w:pPr>
      <w:r w:rsidRPr="0075039E">
        <w:rPr>
          <w:rFonts w:ascii="Garamond" w:hAnsi="Garamond"/>
          <w:lang w:val="pl-PL"/>
        </w:rPr>
        <w:t>Postępowanie zostało unieważnione.</w:t>
      </w:r>
    </w:p>
    <w:p w:rsidR="0075039E" w:rsidRPr="0075039E" w:rsidRDefault="0075039E" w:rsidP="0075039E">
      <w:pPr>
        <w:jc w:val="both"/>
        <w:rPr>
          <w:rFonts w:ascii="Garamond" w:hAnsi="Garamond"/>
          <w:lang w:val="pl-PL"/>
        </w:rPr>
      </w:pPr>
      <w:r w:rsidRPr="0075039E">
        <w:rPr>
          <w:rFonts w:ascii="Garamond" w:hAnsi="Garamond"/>
          <w:lang w:val="pl-PL"/>
        </w:rPr>
        <w:t>Uzasadnienie prawne: art. 93 ust. 1 pkt 7 ustawy Prawo zamówień publicznych.</w:t>
      </w:r>
    </w:p>
    <w:p w:rsidR="0075039E" w:rsidRPr="0075039E" w:rsidRDefault="0075039E" w:rsidP="0075039E">
      <w:pPr>
        <w:jc w:val="both"/>
        <w:rPr>
          <w:rFonts w:ascii="Garamond" w:hAnsi="Garamond"/>
          <w:lang w:val="pl-PL"/>
        </w:rPr>
      </w:pPr>
      <w:r w:rsidRPr="0075039E">
        <w:rPr>
          <w:rFonts w:ascii="Garamond" w:hAnsi="Garamond"/>
          <w:lang w:val="pl-PL"/>
        </w:rPr>
        <w:t>Uzasadnienie faktyczne: postępowanie obarczone jest niemożliwą do usunięcia wadą uniemożliwiającą zawarcie niepodlegającej unieważnieniu umowy w sprawie zamówienia publicznego.</w:t>
      </w:r>
    </w:p>
    <w:p w:rsidR="0075039E" w:rsidRPr="0075039E" w:rsidRDefault="0075039E" w:rsidP="0075039E">
      <w:pPr>
        <w:jc w:val="both"/>
        <w:rPr>
          <w:rFonts w:ascii="Garamond" w:hAnsi="Garamond"/>
          <w:lang w:val="pl-PL"/>
        </w:rPr>
      </w:pPr>
    </w:p>
    <w:p w:rsidR="0075039E" w:rsidRPr="0075039E" w:rsidRDefault="0075039E" w:rsidP="0075039E">
      <w:pPr>
        <w:jc w:val="both"/>
        <w:rPr>
          <w:rFonts w:ascii="Garamond" w:hAnsi="Garamond"/>
          <w:lang w:val="pl-PL"/>
        </w:rPr>
      </w:pPr>
      <w:r w:rsidRPr="0075039E">
        <w:rPr>
          <w:rFonts w:ascii="Garamond" w:hAnsi="Garamond"/>
          <w:lang w:val="pl-PL"/>
        </w:rPr>
        <w:t>Uzasadnienie:</w:t>
      </w:r>
    </w:p>
    <w:p w:rsidR="0075039E" w:rsidRPr="0075039E" w:rsidRDefault="0075039E" w:rsidP="0075039E">
      <w:pPr>
        <w:jc w:val="both"/>
        <w:rPr>
          <w:rFonts w:ascii="Garamond" w:hAnsi="Garamond"/>
          <w:lang w:val="pl-PL"/>
        </w:rPr>
      </w:pPr>
      <w:r w:rsidRPr="0075039E">
        <w:rPr>
          <w:rFonts w:ascii="Garamond" w:hAnsi="Garamond"/>
          <w:lang w:val="pl-PL"/>
        </w:rPr>
        <w:t xml:space="preserve">Postępowanie obarczone jest niemożliwą do usunięcia wadą uniemożliwiającą zawarcie niepodlegającej unieważnieniu umowy w sprawie zamówienia publicznego. Szczegółowy opis przedmiotu zamówienia w zakresie macierzy dyskowej (tabela 4 załącznika nr 1a do specyfikacji) może być różnie interpretowany przez Wykonawców, przez co wybór najkorzystniejszej oferty oraz zawarcie umowy w sprawie zamówienia publicznego może doprowadzić do dostarczenia macierzy, która nie spełni wymagań oraz oczekiwań Zamawiającego. </w:t>
      </w:r>
    </w:p>
    <w:p w:rsidR="0075039E" w:rsidRPr="0075039E" w:rsidRDefault="0075039E" w:rsidP="0075039E">
      <w:pPr>
        <w:jc w:val="both"/>
        <w:rPr>
          <w:rFonts w:ascii="Garamond" w:hAnsi="Garamond"/>
          <w:lang w:val="pl-PL"/>
        </w:rPr>
      </w:pPr>
      <w:r w:rsidRPr="0075039E">
        <w:rPr>
          <w:rFonts w:ascii="Garamond" w:hAnsi="Garamond"/>
          <w:lang w:val="pl-PL"/>
        </w:rPr>
        <w:t xml:space="preserve">Założeniem Zamawiającego było wyspecyfikowanie macierzy dyskowej spełniającej określone wymagania: Zadaniem macierzy dyskowej (będącej kluczowym przedmiotem zamówienia w tym postępowaniu) jest udostępnianie przestrzeni do zapisu i odczytu danych. W przypadku awarii jakiegokolwiek elementu macierzy (dysk SSD, dysk SAS, półka dyskowa, kontroler, zasilacz) system musi być odporny na uszkodzenie, czyli umożliwiać nieprzerwany dostęp do danych udostępnianych i umożliwiać ich zapis. Dostęp do danych zawartych na dyskach w macierzy musi być zachowany niezależnie od tego, która z półek dyskowych ulegnie uszkodzeniu. Zakupiona macierz dyskowa miała posłużyć do przechowywania wrażliwych danych medycznych pacjentów, którym udzielane są świadczenia medyczne przez Zamawiającego - Szpital Uniwersytecki. Zamawiający, nie może dopuścić do sytuacji, w której medyczne wrażliwe dane zapisane na dyskach zlokalizowanych na półkach macierzy mogłyby uleć uszkodzeniu lub utracie. </w:t>
      </w:r>
    </w:p>
    <w:p w:rsidR="0075039E" w:rsidRPr="0075039E" w:rsidRDefault="0075039E" w:rsidP="0075039E">
      <w:pPr>
        <w:jc w:val="both"/>
        <w:rPr>
          <w:rFonts w:ascii="Garamond" w:hAnsi="Garamond"/>
          <w:lang w:val="pl-PL"/>
        </w:rPr>
      </w:pPr>
      <w:r w:rsidRPr="0075039E">
        <w:rPr>
          <w:rFonts w:ascii="Garamond" w:hAnsi="Garamond"/>
          <w:lang w:val="pl-PL"/>
        </w:rPr>
        <w:t xml:space="preserve">W Tabeli 4 punkt 4 załącznika nr 1a do specyfikacji zostały zawarte wymagania, aby macierz m. in. charakteryzowała się odpornością systemu na awarię całej półki dyskowej, a punkcie 5 niniejszego załącznika, aby macierz spełniała wymagania odnośnie wydajności dla parametrów zdefiniowanych w przytoczonym punkcie 4. </w:t>
      </w:r>
    </w:p>
    <w:p w:rsidR="0075039E" w:rsidRPr="00B34A66" w:rsidRDefault="0075039E" w:rsidP="0075039E">
      <w:pPr>
        <w:jc w:val="both"/>
        <w:rPr>
          <w:rFonts w:ascii="Garamond" w:hAnsi="Garamond"/>
          <w:lang w:val="pl-PL"/>
        </w:rPr>
      </w:pPr>
      <w:r w:rsidRPr="00B34A66">
        <w:rPr>
          <w:rFonts w:ascii="Garamond" w:hAnsi="Garamond"/>
          <w:lang w:val="pl-PL"/>
        </w:rPr>
        <w:t>Wykonawca</w:t>
      </w:r>
      <w:r w:rsidR="00B34A66" w:rsidRPr="00B34A66">
        <w:rPr>
          <w:rFonts w:ascii="Garamond" w:hAnsi="Garamond"/>
          <w:lang w:val="pl-PL"/>
        </w:rPr>
        <w:t xml:space="preserve">, </w:t>
      </w:r>
      <w:r w:rsidRPr="00B34A66">
        <w:rPr>
          <w:rFonts w:ascii="Garamond" w:hAnsi="Garamond"/>
          <w:lang w:val="pl-PL"/>
        </w:rPr>
        <w:t xml:space="preserve">DS </w:t>
      </w:r>
      <w:proofErr w:type="spellStart"/>
      <w:r w:rsidRPr="00B34A66">
        <w:rPr>
          <w:rFonts w:ascii="Garamond" w:hAnsi="Garamond"/>
          <w:lang w:val="pl-PL"/>
        </w:rPr>
        <w:t>Comp</w:t>
      </w:r>
      <w:proofErr w:type="spellEnd"/>
      <w:r w:rsidRPr="00B34A66">
        <w:rPr>
          <w:rFonts w:ascii="Garamond" w:hAnsi="Garamond"/>
          <w:lang w:val="pl-PL"/>
        </w:rPr>
        <w:t xml:space="preserve"> Sylwia Dulak, w wyjaśnieniach z dnia 4 grudnia 2019 r. poinformował, że Zamawiający w ramach postanowień SIWZ nie sprecyzował, że pod pojęciem odporności na awarię rozumie „dostępność do macierzy oraz danych na niej zawartych”. Według </w:t>
      </w:r>
      <w:r w:rsidR="00554E57" w:rsidRPr="00B34A66">
        <w:rPr>
          <w:rFonts w:ascii="Garamond" w:hAnsi="Garamond"/>
          <w:lang w:val="pl-PL"/>
        </w:rPr>
        <w:t>wykonawcy</w:t>
      </w:r>
      <w:r w:rsidRPr="00B34A66">
        <w:rPr>
          <w:rFonts w:ascii="Garamond" w:hAnsi="Garamond"/>
          <w:lang w:val="pl-PL"/>
        </w:rPr>
        <w:t xml:space="preserve"> DS </w:t>
      </w:r>
      <w:proofErr w:type="spellStart"/>
      <w:r w:rsidRPr="00B34A66">
        <w:rPr>
          <w:rFonts w:ascii="Garamond" w:hAnsi="Garamond"/>
          <w:lang w:val="pl-PL"/>
        </w:rPr>
        <w:t>Comp</w:t>
      </w:r>
      <w:proofErr w:type="spellEnd"/>
      <w:r w:rsidRPr="00B34A66">
        <w:rPr>
          <w:rFonts w:ascii="Garamond" w:hAnsi="Garamond"/>
          <w:lang w:val="pl-PL"/>
        </w:rPr>
        <w:t xml:space="preserve"> Sylwia Dulak doprecyzowanie przedmiotowego wymogu nastąpiło dopiero na etapie wyjaśnień. </w:t>
      </w:r>
      <w:r w:rsidR="00554E57" w:rsidRPr="00B34A66">
        <w:rPr>
          <w:rFonts w:ascii="Garamond" w:hAnsi="Garamond"/>
          <w:lang w:val="pl-PL"/>
        </w:rPr>
        <w:t>Założeniem</w:t>
      </w:r>
      <w:r w:rsidRPr="00B34A66">
        <w:rPr>
          <w:rFonts w:ascii="Garamond" w:hAnsi="Garamond"/>
          <w:lang w:val="pl-PL"/>
        </w:rPr>
        <w:t xml:space="preserve"> Zamawiającego </w:t>
      </w:r>
      <w:r w:rsidR="00554E57" w:rsidRPr="00B34A66">
        <w:rPr>
          <w:rFonts w:ascii="Garamond" w:hAnsi="Garamond"/>
          <w:lang w:val="pl-PL"/>
        </w:rPr>
        <w:t xml:space="preserve">było, aby </w:t>
      </w:r>
      <w:r w:rsidRPr="00B34A66">
        <w:rPr>
          <w:rFonts w:ascii="Garamond" w:hAnsi="Garamond"/>
          <w:lang w:val="pl-PL"/>
        </w:rPr>
        <w:t xml:space="preserve">wszystkie </w:t>
      </w:r>
      <w:r w:rsidR="00554E57" w:rsidRPr="00B34A66">
        <w:rPr>
          <w:rFonts w:ascii="Garamond" w:hAnsi="Garamond"/>
          <w:lang w:val="pl-PL"/>
        </w:rPr>
        <w:t xml:space="preserve">postawione w SIWZ </w:t>
      </w:r>
      <w:r w:rsidRPr="00B34A66">
        <w:rPr>
          <w:rFonts w:ascii="Garamond" w:hAnsi="Garamond"/>
          <w:lang w:val="pl-PL"/>
        </w:rPr>
        <w:t xml:space="preserve">wymagania </w:t>
      </w:r>
      <w:r w:rsidR="00554E57" w:rsidRPr="00B34A66">
        <w:rPr>
          <w:rFonts w:ascii="Garamond" w:hAnsi="Garamond"/>
          <w:lang w:val="pl-PL"/>
        </w:rPr>
        <w:t>były traktowane</w:t>
      </w:r>
      <w:r w:rsidRPr="00B34A66">
        <w:rPr>
          <w:rFonts w:ascii="Garamond" w:hAnsi="Garamond"/>
          <w:lang w:val="pl-PL"/>
        </w:rPr>
        <w:t xml:space="preserve"> jako spójn</w:t>
      </w:r>
      <w:r w:rsidR="00554E57" w:rsidRPr="00B34A66">
        <w:rPr>
          <w:rFonts w:ascii="Garamond" w:hAnsi="Garamond"/>
          <w:lang w:val="pl-PL"/>
        </w:rPr>
        <w:t xml:space="preserve">a </w:t>
      </w:r>
      <w:r w:rsidRPr="00B34A66">
        <w:rPr>
          <w:rFonts w:ascii="Garamond" w:hAnsi="Garamond"/>
          <w:lang w:val="pl-PL"/>
        </w:rPr>
        <w:t xml:space="preserve">całość. W opinii Zamawiającego w ramach oferowanego przedmiotu zamówienia musi istnieć możliwość spełnienia wszystkich wymogów jednocześnie i bez ograniczeń. Zgodnie z wyjaśnieniami firmy DS </w:t>
      </w:r>
      <w:proofErr w:type="spellStart"/>
      <w:r w:rsidRPr="00B34A66">
        <w:rPr>
          <w:rFonts w:ascii="Garamond" w:hAnsi="Garamond"/>
          <w:lang w:val="pl-PL"/>
        </w:rPr>
        <w:t>Comp</w:t>
      </w:r>
      <w:proofErr w:type="spellEnd"/>
      <w:r w:rsidRPr="00B34A66">
        <w:rPr>
          <w:rFonts w:ascii="Garamond" w:hAnsi="Garamond"/>
          <w:lang w:val="pl-PL"/>
        </w:rPr>
        <w:t xml:space="preserve"> Sylwia Dulak awaria półki dyskowej nie spowoduje awarii całej macierzy, natomiast w opinii Zamawiającego w takim przypadku awaria półki dyskowej spowoduje brak dostępu do danych zawartych na półce, która ulegała uszkodzeniu, </w:t>
      </w:r>
      <w:r w:rsidR="00554E57" w:rsidRPr="00B34A66">
        <w:rPr>
          <w:rFonts w:ascii="Garamond" w:hAnsi="Garamond"/>
          <w:lang w:val="pl-PL"/>
        </w:rPr>
        <w:t>do czego</w:t>
      </w:r>
      <w:r w:rsidRPr="00B34A66">
        <w:rPr>
          <w:rFonts w:ascii="Garamond" w:hAnsi="Garamond"/>
          <w:lang w:val="pl-PL"/>
        </w:rPr>
        <w:t xml:space="preserve"> Zamawiający kategorycznie nie może dopuścić. Nie jest to również zgodne z założeniem Zamawiającego</w:t>
      </w:r>
      <w:r w:rsidR="00904719" w:rsidRPr="00B34A66">
        <w:rPr>
          <w:rFonts w:ascii="Garamond" w:hAnsi="Garamond"/>
          <w:lang w:val="pl-PL"/>
        </w:rPr>
        <w:t>,</w:t>
      </w:r>
      <w:r w:rsidRPr="00B34A66">
        <w:rPr>
          <w:rFonts w:ascii="Garamond" w:hAnsi="Garamond"/>
          <w:lang w:val="pl-PL"/>
        </w:rPr>
        <w:t xml:space="preserve"> określającego szczegółowy opis przedmiotu zamówienia.</w:t>
      </w:r>
    </w:p>
    <w:p w:rsidR="0075039E" w:rsidRPr="00B34A66" w:rsidRDefault="0075039E" w:rsidP="0075039E">
      <w:pPr>
        <w:jc w:val="both"/>
        <w:rPr>
          <w:rFonts w:ascii="Garamond" w:hAnsi="Garamond"/>
          <w:lang w:val="pl-PL"/>
        </w:rPr>
      </w:pPr>
      <w:r w:rsidRPr="00B34A66">
        <w:rPr>
          <w:rFonts w:ascii="Garamond" w:hAnsi="Garamond"/>
          <w:lang w:val="pl-PL"/>
        </w:rPr>
        <w:t>Zamierzeniem Zamawiającego było takie wyspecyfikowanie macierzy dyskowej, aby dostarczone urządzenie spełniało łącznie:</w:t>
      </w:r>
    </w:p>
    <w:p w:rsidR="0075039E" w:rsidRPr="00B34A66" w:rsidRDefault="0075039E" w:rsidP="00904719">
      <w:pPr>
        <w:pStyle w:val="Akapitzlist"/>
        <w:numPr>
          <w:ilvl w:val="0"/>
          <w:numId w:val="10"/>
        </w:numPr>
        <w:ind w:left="284" w:hanging="284"/>
        <w:jc w:val="both"/>
        <w:rPr>
          <w:rFonts w:ascii="Garamond" w:hAnsi="Garamond"/>
          <w:lang w:val="pl-PL"/>
        </w:rPr>
      </w:pPr>
      <w:r w:rsidRPr="00B34A66">
        <w:rPr>
          <w:rFonts w:ascii="Garamond" w:hAnsi="Garamond"/>
          <w:lang w:val="pl-PL"/>
        </w:rPr>
        <w:t>wymagania techniczne (ilość dysków, kontrolerów, zasilaczy);</w:t>
      </w:r>
    </w:p>
    <w:p w:rsidR="0075039E" w:rsidRPr="00B34A66" w:rsidRDefault="0075039E" w:rsidP="00904719">
      <w:pPr>
        <w:pStyle w:val="Akapitzlist"/>
        <w:numPr>
          <w:ilvl w:val="0"/>
          <w:numId w:val="10"/>
        </w:numPr>
        <w:ind w:left="284" w:hanging="284"/>
        <w:jc w:val="both"/>
        <w:rPr>
          <w:rFonts w:ascii="Garamond" w:hAnsi="Garamond"/>
          <w:lang w:val="pl-PL"/>
        </w:rPr>
      </w:pPr>
      <w:r w:rsidRPr="00B34A66">
        <w:rPr>
          <w:rFonts w:ascii="Garamond" w:hAnsi="Garamond"/>
          <w:lang w:val="pl-PL"/>
        </w:rPr>
        <w:t>wymagania w zakresie bezpieczeństwa (odporność na uszkodzenie dysku, półki, zasilacza, kontrolera);</w:t>
      </w:r>
    </w:p>
    <w:p w:rsidR="0075039E" w:rsidRPr="00B34A66" w:rsidRDefault="0075039E" w:rsidP="00904719">
      <w:pPr>
        <w:pStyle w:val="Akapitzlist"/>
        <w:numPr>
          <w:ilvl w:val="0"/>
          <w:numId w:val="10"/>
        </w:numPr>
        <w:ind w:left="284" w:hanging="284"/>
        <w:jc w:val="both"/>
        <w:rPr>
          <w:rFonts w:ascii="Garamond" w:hAnsi="Garamond"/>
          <w:lang w:val="pl-PL"/>
        </w:rPr>
      </w:pPr>
      <w:r w:rsidRPr="00B34A66">
        <w:rPr>
          <w:rFonts w:ascii="Garamond" w:hAnsi="Garamond"/>
          <w:lang w:val="pl-PL"/>
        </w:rPr>
        <w:t>wymagania wydajnościowe (spełnienie wymagań określonych w punkcie 5 Tabeli 4 za</w:t>
      </w:r>
      <w:r w:rsidR="00904719" w:rsidRPr="00B34A66">
        <w:rPr>
          <w:rFonts w:ascii="Garamond" w:hAnsi="Garamond"/>
          <w:lang w:val="pl-PL"/>
        </w:rPr>
        <w:t>łącznika nr 1a do specyfikacji).</w:t>
      </w:r>
    </w:p>
    <w:p w:rsidR="0075039E" w:rsidRPr="00B34A66" w:rsidRDefault="0075039E" w:rsidP="0075039E">
      <w:pPr>
        <w:jc w:val="both"/>
        <w:rPr>
          <w:rFonts w:ascii="Garamond" w:hAnsi="Garamond"/>
          <w:lang w:val="pl-PL"/>
        </w:rPr>
      </w:pPr>
    </w:p>
    <w:p w:rsidR="0075039E" w:rsidRPr="00B34A66" w:rsidRDefault="0075039E" w:rsidP="0075039E">
      <w:pPr>
        <w:jc w:val="both"/>
        <w:rPr>
          <w:rFonts w:ascii="Garamond" w:hAnsi="Garamond"/>
          <w:lang w:val="pl-PL"/>
        </w:rPr>
      </w:pPr>
      <w:r w:rsidRPr="00B34A66">
        <w:rPr>
          <w:rFonts w:ascii="Garamond" w:hAnsi="Garamond"/>
          <w:lang w:val="pl-PL"/>
        </w:rPr>
        <w:t>W Tabeli 1 punkt 26 oraz Tabeli 2 punkt 18 załącznik</w:t>
      </w:r>
      <w:r w:rsidR="0071239F" w:rsidRPr="00B34A66">
        <w:rPr>
          <w:rFonts w:ascii="Garamond" w:hAnsi="Garamond"/>
          <w:lang w:val="pl-PL"/>
        </w:rPr>
        <w:t>a</w:t>
      </w:r>
      <w:r w:rsidRPr="00B34A66">
        <w:rPr>
          <w:rFonts w:ascii="Garamond" w:hAnsi="Garamond"/>
          <w:lang w:val="pl-PL"/>
        </w:rPr>
        <w:t xml:space="preserve"> nr 1a do specyfikacji zostały zawarte wymagania, dotyczące pochodzenia wszystkich elementów serwera od jednego producenta. W założeniu Zamawiającego wszystkie elementy serwera</w:t>
      </w:r>
      <w:r w:rsidR="0071239F" w:rsidRPr="00B34A66">
        <w:rPr>
          <w:rFonts w:ascii="Garamond" w:hAnsi="Garamond"/>
          <w:lang w:val="pl-PL"/>
        </w:rPr>
        <w:t>,</w:t>
      </w:r>
      <w:r w:rsidRPr="00B34A66">
        <w:rPr>
          <w:rFonts w:ascii="Garamond" w:hAnsi="Garamond"/>
          <w:lang w:val="pl-PL"/>
        </w:rPr>
        <w:t xml:space="preserve"> w tym również usługa centralnego monitoringu, o której mowa w Tabeli 1 punkt 24 oraz Tabeli 2 punkt 17 niniejszego załącznika</w:t>
      </w:r>
      <w:r w:rsidR="00F52453" w:rsidRPr="00B34A66">
        <w:rPr>
          <w:rFonts w:ascii="Garamond" w:hAnsi="Garamond"/>
          <w:lang w:val="pl-PL"/>
        </w:rPr>
        <w:t>,</w:t>
      </w:r>
      <w:r w:rsidRPr="00B34A66">
        <w:rPr>
          <w:rFonts w:ascii="Garamond" w:hAnsi="Garamond"/>
          <w:lang w:val="pl-PL"/>
        </w:rPr>
        <w:t xml:space="preserve"> również powinna pochodzić od jednego producenta co w intencji Zamawiającego miało zapewnić, że całość rozwiązania będzie dostarczona i objęta wsparciem technicznym przez jedną firmę mającą wieloletnie doświadczenie w dostarczaniu rozwiązań klasy korporacyjnej do środowisk krytycznych z punktu widzenia działalności leczniczej. Dostarczenie rozwiązań wielu producentów dla infrastruktury krytycznej istotnie zwiększa ryzyko ograniczenia lub zaprzestania działalności medycznej w przypadku problemów technicznych.</w:t>
      </w:r>
    </w:p>
    <w:p w:rsidR="0075039E" w:rsidRPr="00B34A66" w:rsidRDefault="0075039E" w:rsidP="0075039E">
      <w:pPr>
        <w:jc w:val="both"/>
        <w:rPr>
          <w:rFonts w:ascii="Garamond" w:hAnsi="Garamond"/>
          <w:lang w:val="pl-PL"/>
        </w:rPr>
      </w:pPr>
    </w:p>
    <w:p w:rsidR="0075039E" w:rsidRPr="00B34A66" w:rsidRDefault="0075039E" w:rsidP="0075039E">
      <w:pPr>
        <w:jc w:val="both"/>
        <w:rPr>
          <w:rFonts w:ascii="Garamond" w:hAnsi="Garamond"/>
          <w:lang w:val="pl-PL"/>
        </w:rPr>
      </w:pPr>
      <w:r w:rsidRPr="00B34A66">
        <w:rPr>
          <w:rFonts w:ascii="Garamond" w:hAnsi="Garamond"/>
          <w:lang w:val="pl-PL"/>
        </w:rPr>
        <w:t xml:space="preserve">W przypadku oferty złożonej przez firmę DS </w:t>
      </w:r>
      <w:proofErr w:type="spellStart"/>
      <w:r w:rsidRPr="00B34A66">
        <w:rPr>
          <w:rFonts w:ascii="Garamond" w:hAnsi="Garamond"/>
          <w:lang w:val="pl-PL"/>
        </w:rPr>
        <w:t>Comp</w:t>
      </w:r>
      <w:proofErr w:type="spellEnd"/>
      <w:r w:rsidRPr="00B34A66">
        <w:rPr>
          <w:rFonts w:ascii="Garamond" w:hAnsi="Garamond"/>
          <w:lang w:val="pl-PL"/>
        </w:rPr>
        <w:t xml:space="preserve"> Sylwia Dulak usługa centralnego monitoringu świadczona jest w imieniu </w:t>
      </w:r>
      <w:proofErr w:type="spellStart"/>
      <w:r w:rsidRPr="00B34A66">
        <w:rPr>
          <w:rFonts w:ascii="Garamond" w:hAnsi="Garamond"/>
          <w:lang w:val="pl-PL"/>
        </w:rPr>
        <w:t>Huawei</w:t>
      </w:r>
      <w:proofErr w:type="spellEnd"/>
      <w:r w:rsidRPr="00B34A66">
        <w:rPr>
          <w:rFonts w:ascii="Garamond" w:hAnsi="Garamond"/>
          <w:lang w:val="pl-PL"/>
        </w:rPr>
        <w:t xml:space="preserve"> przez firmę DS </w:t>
      </w:r>
      <w:proofErr w:type="spellStart"/>
      <w:r w:rsidRPr="00B34A66">
        <w:rPr>
          <w:rFonts w:ascii="Garamond" w:hAnsi="Garamond"/>
          <w:lang w:val="pl-PL"/>
        </w:rPr>
        <w:t>Comp</w:t>
      </w:r>
      <w:proofErr w:type="spellEnd"/>
      <w:r w:rsidRPr="00B34A66">
        <w:rPr>
          <w:rFonts w:ascii="Garamond" w:hAnsi="Garamond"/>
          <w:lang w:val="pl-PL"/>
        </w:rPr>
        <w:t xml:space="preserve"> Sylwia Dulak na podstawie oficjalnej umowy o autoryzacji serwisowej. Wykonawca i producent </w:t>
      </w:r>
      <w:proofErr w:type="spellStart"/>
      <w:r w:rsidRPr="00B34A66">
        <w:rPr>
          <w:rFonts w:ascii="Garamond" w:hAnsi="Garamond"/>
          <w:lang w:val="pl-PL"/>
        </w:rPr>
        <w:t>Huawei</w:t>
      </w:r>
      <w:proofErr w:type="spellEnd"/>
      <w:r w:rsidRPr="00B34A66">
        <w:rPr>
          <w:rFonts w:ascii="Garamond" w:hAnsi="Garamond"/>
          <w:lang w:val="pl-PL"/>
        </w:rPr>
        <w:t xml:space="preserve"> w ramach przedmiotowej umowy stworzyli aplikację na potrzeby niniejszego postępowania (moduł do monitoringu stanu gwarancji w ramach jednego centralnego panelu użytkownika), pozostałe oprogramowanie i sprzęt oferowany w postępowaniu przez firmę DS </w:t>
      </w:r>
      <w:proofErr w:type="spellStart"/>
      <w:r w:rsidRPr="00B34A66">
        <w:rPr>
          <w:rFonts w:ascii="Garamond" w:hAnsi="Garamond"/>
          <w:lang w:val="pl-PL"/>
        </w:rPr>
        <w:t>Comp</w:t>
      </w:r>
      <w:proofErr w:type="spellEnd"/>
      <w:r w:rsidRPr="00B34A66">
        <w:rPr>
          <w:rFonts w:ascii="Garamond" w:hAnsi="Garamond"/>
          <w:lang w:val="pl-PL"/>
        </w:rPr>
        <w:t xml:space="preserve"> Sylwia Dulak pochodzi od producenta </w:t>
      </w:r>
      <w:proofErr w:type="spellStart"/>
      <w:r w:rsidRPr="00B34A66">
        <w:rPr>
          <w:rFonts w:ascii="Garamond" w:hAnsi="Garamond"/>
          <w:lang w:val="pl-PL"/>
        </w:rPr>
        <w:t>Huawei</w:t>
      </w:r>
      <w:proofErr w:type="spellEnd"/>
      <w:r w:rsidRPr="00B34A66">
        <w:rPr>
          <w:rFonts w:ascii="Garamond" w:hAnsi="Garamond"/>
          <w:lang w:val="pl-PL"/>
        </w:rPr>
        <w:t xml:space="preserve">. </w:t>
      </w:r>
    </w:p>
    <w:p w:rsidR="0075039E" w:rsidRPr="00B34A66" w:rsidRDefault="0075039E" w:rsidP="0075039E">
      <w:pPr>
        <w:jc w:val="both"/>
        <w:rPr>
          <w:rFonts w:ascii="Garamond" w:hAnsi="Garamond"/>
          <w:lang w:val="pl-PL"/>
        </w:rPr>
      </w:pPr>
      <w:r w:rsidRPr="00B34A66">
        <w:rPr>
          <w:rFonts w:ascii="Garamond" w:hAnsi="Garamond"/>
          <w:lang w:val="pl-PL"/>
        </w:rPr>
        <w:t>W przypadku oferty firmy T-System usługa centralnego monitoringu świadczona jest przez producenta serwerów firmę HPE.</w:t>
      </w:r>
    </w:p>
    <w:p w:rsidR="0075039E" w:rsidRPr="00B34A66" w:rsidRDefault="0075039E" w:rsidP="0075039E">
      <w:pPr>
        <w:jc w:val="both"/>
        <w:rPr>
          <w:rFonts w:ascii="Garamond" w:hAnsi="Garamond"/>
          <w:lang w:val="pl-PL"/>
        </w:rPr>
      </w:pPr>
    </w:p>
    <w:p w:rsidR="0075039E" w:rsidRPr="00B34A66" w:rsidRDefault="0075039E" w:rsidP="0075039E">
      <w:pPr>
        <w:jc w:val="both"/>
        <w:rPr>
          <w:rFonts w:ascii="Garamond" w:hAnsi="Garamond"/>
          <w:lang w:val="pl-PL"/>
        </w:rPr>
      </w:pPr>
      <w:r w:rsidRPr="00B34A66">
        <w:rPr>
          <w:rFonts w:ascii="Garamond" w:hAnsi="Garamond"/>
          <w:lang w:val="pl-PL"/>
        </w:rPr>
        <w:t xml:space="preserve">Zamawiający podkreśla również kolejną wadę wyspecyfikowanego opisu przedmiotu zamówienia polegającą na braku możliwości weryfikacji parametrów wydajnościowych macierzy na etapie wyboru oferty. W szczegółowym opisie przedmiotu zamówienia brak jest zapisów umożliwiających weryfikację wydajności macierzy co powoduje, że Zamawiający jest zmuszony do przyjęcia oferty wyłącznie na podstawie oświadczenia Wykonawcy. Natomiast kolejny z Wykonawców, który złożył ofertę w ramach postępowania firma: T-System Polska Sp. z o. o. kwestionuje parametry wydajnościowe macierzy oferowanej przez firmę DS </w:t>
      </w:r>
      <w:proofErr w:type="spellStart"/>
      <w:r w:rsidRPr="00B34A66">
        <w:rPr>
          <w:rFonts w:ascii="Garamond" w:hAnsi="Garamond"/>
          <w:lang w:val="pl-PL"/>
        </w:rPr>
        <w:t>Comp</w:t>
      </w:r>
      <w:proofErr w:type="spellEnd"/>
      <w:r w:rsidRPr="00B34A66">
        <w:rPr>
          <w:rFonts w:ascii="Garamond" w:hAnsi="Garamond"/>
          <w:lang w:val="pl-PL"/>
        </w:rPr>
        <w:t xml:space="preserve"> Sylwia Dulak. </w:t>
      </w:r>
    </w:p>
    <w:p w:rsidR="0075039E" w:rsidRPr="00B34A66" w:rsidRDefault="0075039E" w:rsidP="0075039E">
      <w:pPr>
        <w:jc w:val="both"/>
        <w:rPr>
          <w:rFonts w:ascii="Garamond" w:hAnsi="Garamond"/>
          <w:lang w:val="pl-PL"/>
        </w:rPr>
      </w:pPr>
    </w:p>
    <w:p w:rsidR="0075039E" w:rsidRPr="00B34A66" w:rsidRDefault="0075039E" w:rsidP="0075039E">
      <w:pPr>
        <w:jc w:val="both"/>
        <w:rPr>
          <w:rFonts w:ascii="Garamond" w:hAnsi="Garamond"/>
          <w:lang w:val="pl-PL"/>
        </w:rPr>
      </w:pPr>
      <w:r w:rsidRPr="00B34A66">
        <w:rPr>
          <w:rFonts w:ascii="Garamond" w:hAnsi="Garamond"/>
          <w:lang w:val="pl-PL"/>
        </w:rPr>
        <w:t>Reasumując:</w:t>
      </w:r>
    </w:p>
    <w:p w:rsidR="0075039E" w:rsidRPr="00B34A66" w:rsidRDefault="0075039E" w:rsidP="0075039E">
      <w:pPr>
        <w:jc w:val="both"/>
        <w:rPr>
          <w:rFonts w:ascii="Garamond" w:hAnsi="Garamond"/>
          <w:lang w:val="pl-PL"/>
        </w:rPr>
      </w:pPr>
      <w:r w:rsidRPr="00B34A66">
        <w:rPr>
          <w:rFonts w:ascii="Garamond" w:hAnsi="Garamond"/>
          <w:lang w:val="pl-PL"/>
        </w:rPr>
        <w:t>Postępowanie obarczone jest niemożliwą do usunięcia wadą uniemożliwiającą zawarcie niepodlegającej unieważnieniu umowy w sprawie zamówienia publicznego. Wada postępowania dotyczy naruszenia art. 29 ust. 1 i 2 ustawy Pzp poprzez niejednoznaczny i nie wyczerpujący opis przedmiotu zamówienia.</w:t>
      </w:r>
      <w:r w:rsidRPr="00B34A66">
        <w:rPr>
          <w:lang w:val="pl-PL"/>
        </w:rPr>
        <w:t xml:space="preserve"> </w:t>
      </w:r>
      <w:r w:rsidRPr="00B34A66">
        <w:rPr>
          <w:rFonts w:ascii="Garamond" w:hAnsi="Garamond"/>
          <w:lang w:val="pl-PL"/>
        </w:rPr>
        <w:t>Na etapie badania i oceny ofert nie ma możliwości dokonania jakichkolwiek zmian w treści specyfikacji istotnych warunków zamówienia. Niemożliwe jest również zawarcie umowy w sprawie zamówienia publicznego ponieważ powyższa wada ma istotny wpływ na wynik postępowania.</w:t>
      </w:r>
    </w:p>
    <w:p w:rsidR="0075039E" w:rsidRPr="0075039E" w:rsidRDefault="0075039E" w:rsidP="0075039E">
      <w:pPr>
        <w:jc w:val="both"/>
        <w:rPr>
          <w:rFonts w:ascii="Garamond" w:hAnsi="Garamond"/>
          <w:lang w:val="pl-PL"/>
        </w:rPr>
      </w:pPr>
      <w:r w:rsidRPr="00B34A66">
        <w:rPr>
          <w:rFonts w:ascii="Garamond" w:hAnsi="Garamond"/>
          <w:lang w:val="pl-PL"/>
        </w:rPr>
        <w:t xml:space="preserve">Na podstawie wyjaśnień Wykonawców w zakresie treści oferty, wyroku KIO, naruszeń wskazanych w składanych przez Wykonawców odwołaniach w ramach toczącego się postępowania w opinii Zamawiającego opis przedmiotu zamówienia jest obarczony wadą, która jest niemożliwa do usunięcia, a rozstrzygnięcie postępowania i zawarcie umowy może doprowadzić do dostawy sprzętu serwerowego, który łącznie nie spełni założeń </w:t>
      </w:r>
      <w:r w:rsidR="00F52453" w:rsidRPr="00B34A66">
        <w:rPr>
          <w:rFonts w:ascii="Garamond" w:hAnsi="Garamond"/>
          <w:lang w:val="pl-PL"/>
        </w:rPr>
        <w:t xml:space="preserve">Zamawiającego </w:t>
      </w:r>
      <w:r w:rsidRPr="00B34A66">
        <w:rPr>
          <w:rFonts w:ascii="Garamond" w:hAnsi="Garamond"/>
          <w:lang w:val="pl-PL"/>
        </w:rPr>
        <w:t xml:space="preserve">w zakresie </w:t>
      </w:r>
      <w:r w:rsidRPr="0075039E">
        <w:rPr>
          <w:rFonts w:ascii="Garamond" w:hAnsi="Garamond"/>
          <w:lang w:val="pl-PL"/>
        </w:rPr>
        <w:t>wymagań technicznych, bezpieczeństwa oraz wydajności.</w:t>
      </w:r>
    </w:p>
    <w:p w:rsidR="00AB0615" w:rsidRPr="00185AD7" w:rsidRDefault="00AB0615" w:rsidP="00AB0615">
      <w:pPr>
        <w:rPr>
          <w:rFonts w:ascii="Bookman Old Style" w:hAnsi="Bookman Old Style"/>
          <w:sz w:val="24"/>
          <w:szCs w:val="24"/>
          <w:lang w:val="pl-PL"/>
        </w:rPr>
      </w:pPr>
    </w:p>
    <w:p w:rsidR="00AB0615" w:rsidRPr="00185AD7" w:rsidRDefault="00AB0615" w:rsidP="00AB0615">
      <w:pPr>
        <w:rPr>
          <w:rFonts w:ascii="Bookman Old Style" w:hAnsi="Bookman Old Style"/>
          <w:sz w:val="24"/>
          <w:szCs w:val="24"/>
          <w:lang w:val="pl-PL"/>
        </w:rPr>
      </w:pPr>
    </w:p>
    <w:p w:rsidR="00AB0615" w:rsidRPr="00185AD7" w:rsidRDefault="00AB0615" w:rsidP="00AB0615">
      <w:pPr>
        <w:rPr>
          <w:rFonts w:ascii="Bookman Old Style" w:hAnsi="Bookman Old Style"/>
          <w:sz w:val="24"/>
          <w:szCs w:val="24"/>
          <w:lang w:val="pl-PL"/>
        </w:rPr>
      </w:pPr>
    </w:p>
    <w:p w:rsidR="00AB0615" w:rsidRPr="00185AD7" w:rsidRDefault="00AB0615" w:rsidP="00AB0615">
      <w:pPr>
        <w:rPr>
          <w:rFonts w:ascii="Bookman Old Style" w:hAnsi="Bookman Old Style"/>
          <w:sz w:val="24"/>
          <w:szCs w:val="24"/>
          <w:lang w:val="pl-PL"/>
        </w:rPr>
      </w:pPr>
    </w:p>
    <w:p w:rsidR="00AB0615" w:rsidRPr="00185AD7" w:rsidRDefault="00AB0615" w:rsidP="00AB0615">
      <w:pPr>
        <w:rPr>
          <w:rFonts w:ascii="Bookman Old Style" w:hAnsi="Bookman Old Style"/>
          <w:sz w:val="24"/>
          <w:szCs w:val="24"/>
          <w:lang w:val="pl-PL"/>
        </w:rPr>
      </w:pPr>
    </w:p>
    <w:p w:rsidR="00AB0615" w:rsidRPr="00185AD7" w:rsidRDefault="00AB0615" w:rsidP="00AB0615">
      <w:pPr>
        <w:rPr>
          <w:rFonts w:ascii="Bookman Old Style" w:hAnsi="Bookman Old Style"/>
          <w:sz w:val="24"/>
          <w:szCs w:val="24"/>
          <w:lang w:val="pl-PL"/>
        </w:rPr>
      </w:pPr>
    </w:p>
    <w:p w:rsidR="00AB0615" w:rsidRPr="00185AD7" w:rsidRDefault="00AB0615" w:rsidP="00AB0615">
      <w:pPr>
        <w:rPr>
          <w:rFonts w:ascii="Bookman Old Style" w:hAnsi="Bookman Old Style"/>
          <w:sz w:val="24"/>
          <w:szCs w:val="24"/>
          <w:lang w:val="pl-PL"/>
        </w:rPr>
      </w:pPr>
    </w:p>
    <w:p w:rsidR="007D242A" w:rsidRPr="00554E57" w:rsidRDefault="007D242A" w:rsidP="00D21B53">
      <w:pPr>
        <w:rPr>
          <w:lang w:val="pl-PL"/>
        </w:rPr>
      </w:pPr>
    </w:p>
    <w:sectPr w:rsidR="007D242A" w:rsidRPr="00554E57" w:rsidSect="001E517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144" w:rsidRDefault="00884144" w:rsidP="001E517E">
      <w:r>
        <w:separator/>
      </w:r>
    </w:p>
  </w:endnote>
  <w:endnote w:type="continuationSeparator" w:id="0">
    <w:p w:rsidR="00884144" w:rsidRDefault="00884144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144" w:rsidRDefault="00884144" w:rsidP="001E517E">
      <w:r>
        <w:separator/>
      </w:r>
    </w:p>
  </w:footnote>
  <w:footnote w:type="continuationSeparator" w:id="0">
    <w:p w:rsidR="00884144" w:rsidRDefault="00884144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88414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5" o:spid="_x0000_s2062" type="#_x0000_t75" style="position:absolute;margin-left:0;margin-top:0;width:453pt;height:577.25pt;z-index:-251657216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884144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63" type="#_x0000_t75" style="position:absolute;left:0;text-align:left;margin-left:-38.2pt;margin-top:-40.45pt;width:612.2pt;height:780.1pt;z-index:-25165619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884144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4" o:spid="_x0000_s2061" type="#_x0000_t75" style="position:absolute;margin-left:0;margin-top:0;width:453pt;height:577.25pt;z-index:-251658240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0B6400"/>
    <w:multiLevelType w:val="hybridMultilevel"/>
    <w:tmpl w:val="3D6A7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B979AC"/>
    <w:multiLevelType w:val="hybridMultilevel"/>
    <w:tmpl w:val="332C7DE2"/>
    <w:lvl w:ilvl="0" w:tplc="56849AB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7"/>
  </w:num>
  <w:num w:numId="8">
    <w:abstractNumId w:val="0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50FC1"/>
    <w:rsid w:val="000A2FB5"/>
    <w:rsid w:val="0015170D"/>
    <w:rsid w:val="001D0D0A"/>
    <w:rsid w:val="001E517E"/>
    <w:rsid w:val="00370B2B"/>
    <w:rsid w:val="003879BC"/>
    <w:rsid w:val="005048F4"/>
    <w:rsid w:val="00554E57"/>
    <w:rsid w:val="0071239F"/>
    <w:rsid w:val="00727613"/>
    <w:rsid w:val="0075039E"/>
    <w:rsid w:val="007A3696"/>
    <w:rsid w:val="007A3A7E"/>
    <w:rsid w:val="007D242A"/>
    <w:rsid w:val="007E5612"/>
    <w:rsid w:val="00804CFA"/>
    <w:rsid w:val="00884144"/>
    <w:rsid w:val="00896E2E"/>
    <w:rsid w:val="008B27EB"/>
    <w:rsid w:val="00904719"/>
    <w:rsid w:val="00971F1B"/>
    <w:rsid w:val="009A5C4F"/>
    <w:rsid w:val="009D44ED"/>
    <w:rsid w:val="009E5C1A"/>
    <w:rsid w:val="00AB0615"/>
    <w:rsid w:val="00B34A66"/>
    <w:rsid w:val="00B542F7"/>
    <w:rsid w:val="00C30A2A"/>
    <w:rsid w:val="00D21B53"/>
    <w:rsid w:val="00E45C42"/>
    <w:rsid w:val="00E63133"/>
    <w:rsid w:val="00E80251"/>
    <w:rsid w:val="00E91A5A"/>
    <w:rsid w:val="00F1375F"/>
    <w:rsid w:val="00F52453"/>
    <w:rsid w:val="00FF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79F3D1AC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4E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4E5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4E57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E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E5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Akapitzlist">
    <w:name w:val="List Paragraph"/>
    <w:basedOn w:val="Normalny"/>
    <w:uiPriority w:val="34"/>
    <w:qFormat/>
    <w:rsid w:val="009047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AA04-30EC-4047-A381-74112FE2A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1016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6</cp:revision>
  <cp:lastPrinted>2018-11-26T11:23:00Z</cp:lastPrinted>
  <dcterms:created xsi:type="dcterms:W3CDTF">2020-01-17T09:55:00Z</dcterms:created>
  <dcterms:modified xsi:type="dcterms:W3CDTF">2020-01-20T07:38:00Z</dcterms:modified>
</cp:coreProperties>
</file>