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5192E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3E43CDC8" w14:textId="77777777" w:rsidR="00C074F9" w:rsidRPr="00F02309" w:rsidRDefault="00F02309" w:rsidP="00C074F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Wymagania graniczne dla</w:t>
      </w:r>
      <w:r w:rsidRPr="00057A45">
        <w:rPr>
          <w:rFonts w:ascii="Garamond" w:hAnsi="Garamond"/>
          <w:b/>
          <w:color w:val="002060"/>
          <w:sz w:val="22"/>
          <w:szCs w:val="22"/>
        </w:rPr>
        <w:t xml:space="preserve"> </w:t>
      </w:r>
      <w:r>
        <w:rPr>
          <w:rFonts w:ascii="Garamond" w:hAnsi="Garamond"/>
          <w:b/>
          <w:color w:val="002060"/>
          <w:sz w:val="22"/>
          <w:szCs w:val="22"/>
        </w:rPr>
        <w:t>t</w:t>
      </w:r>
      <w:r w:rsidR="00C074F9" w:rsidRPr="00F02309">
        <w:rPr>
          <w:rFonts w:ascii="Garamond" w:hAnsi="Garamond"/>
          <w:b/>
          <w:color w:val="002060"/>
          <w:sz w:val="22"/>
          <w:szCs w:val="22"/>
        </w:rPr>
        <w:t>est</w:t>
      </w:r>
      <w:r w:rsidRPr="00F02309">
        <w:rPr>
          <w:rFonts w:ascii="Garamond" w:hAnsi="Garamond"/>
          <w:b/>
          <w:color w:val="002060"/>
          <w:sz w:val="22"/>
          <w:szCs w:val="22"/>
        </w:rPr>
        <w:t>u</w:t>
      </w:r>
      <w:r w:rsidR="00C074F9" w:rsidRPr="00F02309">
        <w:rPr>
          <w:rFonts w:ascii="Garamond" w:hAnsi="Garamond"/>
          <w:b/>
          <w:color w:val="002060"/>
          <w:sz w:val="22"/>
          <w:szCs w:val="22"/>
        </w:rPr>
        <w:t xml:space="preserve"> immunoenzymatyczny in vitro do wykrywania przeciwciał klasy IgG  (ilościowo/półilościowo) przeciw Varicella Zoster Virus (VZV) w surowicy</w:t>
      </w:r>
    </w:p>
    <w:p w14:paraId="4A3A43DA" w14:textId="77777777" w:rsidR="00C074F9" w:rsidRPr="00F02309" w:rsidRDefault="00C074F9" w:rsidP="00C074F9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F02309">
        <w:rPr>
          <w:rFonts w:ascii="Garamond" w:hAnsi="Garamond"/>
          <w:b/>
          <w:color w:val="002060"/>
          <w:sz w:val="22"/>
          <w:szCs w:val="22"/>
        </w:rPr>
        <w:t>(metoda ELISA)</w:t>
      </w:r>
    </w:p>
    <w:p w14:paraId="3849E600" w14:textId="77777777" w:rsidR="00C074F9" w:rsidRPr="00C074F9" w:rsidRDefault="00C074F9" w:rsidP="00C074F9">
      <w:pPr>
        <w:spacing w:before="120"/>
        <w:ind w:left="-97"/>
        <w:jc w:val="center"/>
        <w:rPr>
          <w:rFonts w:ascii="Garamond" w:eastAsia="Times New Roman" w:hAnsi="Garamond"/>
          <w:sz w:val="22"/>
          <w:szCs w:val="22"/>
        </w:rPr>
      </w:pP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095"/>
        <w:gridCol w:w="2909"/>
      </w:tblGrid>
      <w:tr w:rsidR="00AC16C6" w:rsidRPr="00C074F9" w14:paraId="2B9207E5" w14:textId="77777777" w:rsidTr="009F6FB1">
        <w:trPr>
          <w:cantSplit/>
        </w:trPr>
        <w:tc>
          <w:tcPr>
            <w:tcW w:w="496" w:type="dxa"/>
            <w:vAlign w:val="center"/>
          </w:tcPr>
          <w:p w14:paraId="060965BF" w14:textId="77777777" w:rsidR="00AC16C6" w:rsidRPr="00C50CE9" w:rsidRDefault="00AC16C6" w:rsidP="00AC16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095" w:type="dxa"/>
            <w:vAlign w:val="center"/>
          </w:tcPr>
          <w:p w14:paraId="3190F866" w14:textId="77777777" w:rsidR="00AC16C6" w:rsidRPr="00C50CE9" w:rsidRDefault="00AC16C6" w:rsidP="00AC16C6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C50CE9">
              <w:rPr>
                <w:rFonts w:ascii="Garamond" w:hAnsi="Garamond"/>
                <w:color w:val="auto"/>
                <w:sz w:val="22"/>
                <w:szCs w:val="22"/>
              </w:rPr>
              <w:t>Nazwa parametru</w:t>
            </w:r>
          </w:p>
        </w:tc>
        <w:tc>
          <w:tcPr>
            <w:tcW w:w="2909" w:type="dxa"/>
            <w:vAlign w:val="center"/>
          </w:tcPr>
          <w:p w14:paraId="21963ABF" w14:textId="77777777" w:rsidR="00AC16C6" w:rsidRPr="00C50CE9" w:rsidRDefault="00AC16C6" w:rsidP="00AC16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Potwierdzenie spełnienia</w:t>
            </w:r>
          </w:p>
          <w:p w14:paraId="1B587520" w14:textId="77777777" w:rsidR="00AC16C6" w:rsidRPr="00C50CE9" w:rsidRDefault="00AC16C6" w:rsidP="00AC16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(należy wpisać Tak lub Nie)*</w:t>
            </w:r>
          </w:p>
        </w:tc>
      </w:tr>
      <w:tr w:rsidR="00C074F9" w:rsidRPr="00C074F9" w14:paraId="2228584D" w14:textId="77777777" w:rsidTr="009F6FB1">
        <w:trPr>
          <w:cantSplit/>
        </w:trPr>
        <w:tc>
          <w:tcPr>
            <w:tcW w:w="496" w:type="dxa"/>
            <w:vAlign w:val="center"/>
          </w:tcPr>
          <w:p w14:paraId="1C45A9AB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1</w:t>
            </w:r>
          </w:p>
        </w:tc>
        <w:tc>
          <w:tcPr>
            <w:tcW w:w="6095" w:type="dxa"/>
            <w:vAlign w:val="center"/>
          </w:tcPr>
          <w:p w14:paraId="378AD7EB" w14:textId="77777777" w:rsidR="00C074F9" w:rsidRPr="00C074F9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Test zawiera wszystkie niezbędne odczynniki pozwalające wykryć przeciwciała w klasie IgG (ilościow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>o/półilościowo) przeciwko VZV w </w:t>
            </w:r>
            <w:r w:rsidRPr="00C074F9">
              <w:rPr>
                <w:rFonts w:ascii="Garamond" w:eastAsia="Times New Roman" w:hAnsi="Garamond"/>
                <w:sz w:val="22"/>
                <w:szCs w:val="22"/>
              </w:rPr>
              <w:t>ludzkiej surowicy</w:t>
            </w:r>
          </w:p>
        </w:tc>
        <w:tc>
          <w:tcPr>
            <w:tcW w:w="2909" w:type="dxa"/>
            <w:vAlign w:val="center"/>
          </w:tcPr>
          <w:p w14:paraId="648A2132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C074F9" w14:paraId="19BA2B37" w14:textId="77777777" w:rsidTr="009F6FB1">
        <w:trPr>
          <w:cantSplit/>
        </w:trPr>
        <w:tc>
          <w:tcPr>
            <w:tcW w:w="496" w:type="dxa"/>
            <w:vAlign w:val="center"/>
          </w:tcPr>
          <w:p w14:paraId="00D05359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2</w:t>
            </w:r>
          </w:p>
        </w:tc>
        <w:tc>
          <w:tcPr>
            <w:tcW w:w="6095" w:type="dxa"/>
            <w:vAlign w:val="center"/>
          </w:tcPr>
          <w:p w14:paraId="531A3AD9" w14:textId="77777777" w:rsidR="00C074F9" w:rsidRPr="00C074F9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Przeciwciała wykrywane w ludzkiej surowicy</w:t>
            </w:r>
          </w:p>
        </w:tc>
        <w:tc>
          <w:tcPr>
            <w:tcW w:w="2909" w:type="dxa"/>
            <w:vAlign w:val="center"/>
          </w:tcPr>
          <w:p w14:paraId="3050758B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C074F9" w14:paraId="5DF88FC4" w14:textId="77777777" w:rsidTr="009F6FB1">
        <w:trPr>
          <w:cantSplit/>
        </w:trPr>
        <w:tc>
          <w:tcPr>
            <w:tcW w:w="496" w:type="dxa"/>
            <w:vAlign w:val="center"/>
          </w:tcPr>
          <w:p w14:paraId="1618AF08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3</w:t>
            </w:r>
          </w:p>
        </w:tc>
        <w:tc>
          <w:tcPr>
            <w:tcW w:w="6095" w:type="dxa"/>
            <w:vAlign w:val="center"/>
          </w:tcPr>
          <w:p w14:paraId="4BFF7569" w14:textId="77777777" w:rsidR="000C37E7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Możliwość wyko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 xml:space="preserve">nania pojedynczego oznaczenia. </w:t>
            </w:r>
          </w:p>
          <w:p w14:paraId="22481D21" w14:textId="77777777" w:rsidR="00C074F9" w:rsidRPr="00C074F9" w:rsidRDefault="000C37E7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>
              <w:rPr>
                <w:rFonts w:ascii="Garamond" w:eastAsia="Times New Roman" w:hAnsi="Garamond"/>
                <w:sz w:val="22"/>
                <w:szCs w:val="22"/>
              </w:rPr>
              <w:t xml:space="preserve">Płytka </w:t>
            </w:r>
            <w:r w:rsidR="00C074F9" w:rsidRPr="00C074F9">
              <w:rPr>
                <w:rFonts w:ascii="Garamond" w:eastAsia="Times New Roman" w:hAnsi="Garamond"/>
                <w:sz w:val="22"/>
                <w:szCs w:val="22"/>
              </w:rPr>
              <w:t>z odłamywanymi dołkami</w:t>
            </w:r>
            <w:r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909" w:type="dxa"/>
            <w:vAlign w:val="center"/>
          </w:tcPr>
          <w:p w14:paraId="4392489D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C074F9" w14:paraId="451B9385" w14:textId="77777777" w:rsidTr="009F6FB1">
        <w:trPr>
          <w:cantSplit/>
        </w:trPr>
        <w:tc>
          <w:tcPr>
            <w:tcW w:w="496" w:type="dxa"/>
            <w:vAlign w:val="center"/>
          </w:tcPr>
          <w:p w14:paraId="23B03F27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4</w:t>
            </w:r>
          </w:p>
        </w:tc>
        <w:tc>
          <w:tcPr>
            <w:tcW w:w="6095" w:type="dxa"/>
            <w:vAlign w:val="center"/>
          </w:tcPr>
          <w:p w14:paraId="3B7372B1" w14:textId="77777777" w:rsidR="00C074F9" w:rsidRPr="00C074F9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Termin stabilności buforu płuczącego po rozcieńczeniu 2 tygodnie lub dłużej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909" w:type="dxa"/>
            <w:vAlign w:val="center"/>
          </w:tcPr>
          <w:p w14:paraId="5703BAA1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C074F9" w14:paraId="32186EB3" w14:textId="77777777" w:rsidTr="009F6FB1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737C6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37455" w14:textId="77777777" w:rsidR="00C074F9" w:rsidRPr="00C074F9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Zestaw zawiera odczynniki, tj. kontrolę dodatnią, kontrolę ujemną oraz kontrolę odcinającą  ewentualnie kalibratory oraz folię ochronną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ACB6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C074F9" w14:paraId="3AD1F1B7" w14:textId="77777777" w:rsidTr="009F6FB1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A5C9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40B47" w14:textId="77777777" w:rsidR="00C074F9" w:rsidRPr="00C074F9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Możliwość przeprowadzenia analizy w ciągu maksymalnie dwóch godzin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174FD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C074F9" w14:paraId="6380A699" w14:textId="77777777" w:rsidTr="009F6FB1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2D139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14614" w14:textId="77777777" w:rsidR="00C074F9" w:rsidRPr="00C074F9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Możliwość odczytu wyników z wykorzystaniem spektrofotometru przy długości fali 450 i/lub 620 nm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6D52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C074F9" w14:paraId="083BBEA9" w14:textId="77777777" w:rsidTr="009F6FB1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4242E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E86E" w14:textId="77777777" w:rsidR="00C074F9" w:rsidRPr="00C074F9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Przejrzyście podane kryteria interpretacji wyniku z uwzględnieniem wyniku ujemnego, dodat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>niego, ewentualnie wątpliwego (</w:t>
            </w:r>
            <w:r w:rsidRPr="00C074F9">
              <w:rPr>
                <w:rFonts w:ascii="Garamond" w:eastAsia="Times New Roman" w:hAnsi="Garamond"/>
                <w:sz w:val="22"/>
                <w:szCs w:val="22"/>
              </w:rPr>
              <w:t>pośredniego, granicznego)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9722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C074F9" w14:paraId="39753510" w14:textId="77777777" w:rsidTr="009F6FB1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FB8F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968E" w14:textId="77777777" w:rsidR="00C074F9" w:rsidRPr="00C074F9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Swoistość testu wynosi ≥ 95%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BE4C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C074F9" w14:paraId="2E721DBD" w14:textId="77777777" w:rsidTr="009F6FB1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7D47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FFE28" w14:textId="77777777" w:rsidR="00C074F9" w:rsidRPr="00C074F9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Okres ważności testu minimum 6 miesięcy od daty dostawy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3DEB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C074F9" w14:paraId="1C04BE83" w14:textId="77777777" w:rsidTr="009F6FB1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BAC6E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F0D1" w14:textId="77777777" w:rsidR="00C074F9" w:rsidRPr="00C074F9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Instrukcja wykonania testu w języku polskim i ewentualnie dodatkowo w języku angielskim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81AE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C074F9" w14:paraId="70E9CF5B" w14:textId="77777777" w:rsidTr="009F6FB1">
        <w:trPr>
          <w:cantSplit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D7A4F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16EC" w14:textId="77777777" w:rsidR="00C074F9" w:rsidRPr="00C074F9" w:rsidRDefault="00C074F9" w:rsidP="000C37E7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Producent lub podmiot odpowiedzialny zapewnia pomoc merytoryczną i techniczną na każdym etapie wykonania procedury</w:t>
            </w:r>
            <w:r w:rsidR="000C37E7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16B4" w14:textId="77777777" w:rsidR="00C074F9" w:rsidRPr="00C074F9" w:rsidRDefault="00C074F9" w:rsidP="00C074F9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</w:tbl>
    <w:p w14:paraId="54C4B956" w14:textId="77777777" w:rsidR="00AC16C6" w:rsidRDefault="00AC16C6" w:rsidP="00AC16C6">
      <w:pPr>
        <w:rPr>
          <w:rFonts w:ascii="Garamond" w:hAnsi="Garamond"/>
          <w:b/>
          <w:sz w:val="22"/>
          <w:szCs w:val="22"/>
        </w:rPr>
      </w:pPr>
    </w:p>
    <w:p w14:paraId="1A070C02" w14:textId="77777777" w:rsidR="00AC16C6" w:rsidRPr="007145B4" w:rsidRDefault="00AC16C6" w:rsidP="00AC16C6">
      <w:pPr>
        <w:rPr>
          <w:rFonts w:ascii="Garamond" w:hAnsi="Garamond"/>
          <w:b/>
          <w:sz w:val="22"/>
          <w:szCs w:val="22"/>
        </w:rPr>
      </w:pPr>
      <w:r w:rsidRPr="007145B4">
        <w:rPr>
          <w:rFonts w:ascii="Garamond" w:hAnsi="Garamond"/>
          <w:b/>
          <w:sz w:val="22"/>
          <w:szCs w:val="22"/>
        </w:rPr>
        <w:t xml:space="preserve">*Uwaga! </w:t>
      </w:r>
    </w:p>
    <w:p w14:paraId="1B64748E" w14:textId="77777777" w:rsidR="00AC16C6" w:rsidRPr="007145B4" w:rsidRDefault="00AC16C6" w:rsidP="00AC16C6">
      <w:pPr>
        <w:jc w:val="both"/>
        <w:rPr>
          <w:rFonts w:ascii="Garamond" w:hAnsi="Garamond"/>
          <w:color w:val="FF0000"/>
          <w:sz w:val="22"/>
          <w:szCs w:val="22"/>
        </w:rPr>
      </w:pPr>
      <w:r w:rsidRPr="007145B4">
        <w:rPr>
          <w:rFonts w:ascii="Garamond" w:hAnsi="Garamond"/>
          <w:color w:val="FF0000"/>
          <w:sz w:val="22"/>
          <w:szCs w:val="22"/>
        </w:rPr>
        <w:t>Nie spełnienie któregokolwiek z wymagań granicznych przedstawionych w tabeli powy</w:t>
      </w:r>
      <w:r>
        <w:rPr>
          <w:rFonts w:ascii="Garamond" w:hAnsi="Garamond"/>
          <w:color w:val="FF0000"/>
          <w:sz w:val="22"/>
          <w:szCs w:val="22"/>
        </w:rPr>
        <w:t>żej spowoduje odrzucenie oferty.</w:t>
      </w:r>
      <w:r w:rsidRPr="007145B4">
        <w:rPr>
          <w:rFonts w:ascii="Garamond" w:hAnsi="Garamond"/>
          <w:color w:val="FF0000"/>
          <w:sz w:val="22"/>
          <w:szCs w:val="22"/>
        </w:rPr>
        <w:t xml:space="preserve"> </w:t>
      </w:r>
    </w:p>
    <w:p w14:paraId="77D83E87" w14:textId="77777777" w:rsidR="00C074F9" w:rsidRPr="00C074F9" w:rsidRDefault="00C074F9" w:rsidP="00C074F9">
      <w:pPr>
        <w:keepNext/>
        <w:outlineLvl w:val="3"/>
        <w:rPr>
          <w:rFonts w:ascii="Garamond" w:eastAsia="Times New Roman" w:hAnsi="Garamond"/>
          <w:sz w:val="22"/>
          <w:szCs w:val="22"/>
        </w:rPr>
      </w:pPr>
      <w:r w:rsidRPr="00C074F9">
        <w:rPr>
          <w:rFonts w:ascii="Garamond" w:eastAsia="Times New Roman" w:hAnsi="Garamond"/>
          <w:sz w:val="22"/>
          <w:szCs w:val="22"/>
        </w:rPr>
        <w:t>.</w:t>
      </w:r>
    </w:p>
    <w:p w14:paraId="3DE3C42B" w14:textId="77777777" w:rsidR="00C074F9" w:rsidRPr="00C074F9" w:rsidRDefault="00C074F9" w:rsidP="00C074F9">
      <w:pPr>
        <w:rPr>
          <w:rFonts w:ascii="Garamond" w:eastAsia="Arial Unicode MS" w:hAnsi="Garamond"/>
          <w:sz w:val="22"/>
          <w:szCs w:val="22"/>
        </w:rPr>
      </w:pPr>
    </w:p>
    <w:p w14:paraId="65E97AAA" w14:textId="77777777" w:rsidR="00C074F9" w:rsidRPr="00C074F9" w:rsidRDefault="00C074F9" w:rsidP="00C074F9">
      <w:pPr>
        <w:rPr>
          <w:rFonts w:ascii="Garamond" w:eastAsia="Arial Unicode MS" w:hAnsi="Garamond"/>
          <w:sz w:val="22"/>
          <w:szCs w:val="22"/>
        </w:rPr>
      </w:pPr>
    </w:p>
    <w:p w14:paraId="4913ABD1" w14:textId="77777777" w:rsidR="00C074F9" w:rsidRDefault="00C074F9">
      <w:bookmarkStart w:id="0" w:name="_GoBack"/>
      <w:bookmarkEnd w:id="0"/>
    </w:p>
    <w:sectPr w:rsidR="00C074F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1DDF41" w14:textId="77777777" w:rsidR="00B86E0D" w:rsidRDefault="00B86E0D" w:rsidP="00F02309">
      <w:r>
        <w:separator/>
      </w:r>
    </w:p>
  </w:endnote>
  <w:endnote w:type="continuationSeparator" w:id="0">
    <w:p w14:paraId="6A6FC150" w14:textId="77777777" w:rsidR="00B86E0D" w:rsidRDefault="00B86E0D" w:rsidP="00F02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42669" w14:textId="055D246C" w:rsidR="00E83345" w:rsidRDefault="00E83345" w:rsidP="00E83345">
    <w:pPr>
      <w:pStyle w:val="Stopka"/>
      <w:jc w:val="center"/>
      <w:rPr>
        <w:rFonts w:ascii="Garamond" w:hAnsi="Garamond"/>
        <w:b/>
        <w:bCs/>
        <w:sz w:val="20"/>
        <w:szCs w:val="20"/>
      </w:rPr>
    </w:pPr>
    <w:r w:rsidRPr="00FE4417">
      <w:rPr>
        <w:rFonts w:ascii="Garamond" w:hAnsi="Garamond"/>
        <w:sz w:val="20"/>
        <w:szCs w:val="20"/>
      </w:rPr>
      <w:t xml:space="preserve">Strona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PAGE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9265D5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  <w:r w:rsidRPr="00FE4417">
      <w:rPr>
        <w:rFonts w:ascii="Garamond" w:hAnsi="Garamond"/>
        <w:sz w:val="20"/>
        <w:szCs w:val="20"/>
      </w:rPr>
      <w:t xml:space="preserve"> z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NUMPAGES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9265D5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</w:p>
  <w:p w14:paraId="441272D2" w14:textId="77777777" w:rsidR="00E83345" w:rsidRDefault="00E833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9A7E5A" w14:textId="77777777" w:rsidR="00B86E0D" w:rsidRDefault="00B86E0D" w:rsidP="00F02309">
      <w:r>
        <w:separator/>
      </w:r>
    </w:p>
  </w:footnote>
  <w:footnote w:type="continuationSeparator" w:id="0">
    <w:p w14:paraId="16817D2B" w14:textId="77777777" w:rsidR="00B86E0D" w:rsidRDefault="00B86E0D" w:rsidP="00F02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205D" w14:textId="77777777" w:rsidR="00F02309" w:rsidRDefault="00F02309" w:rsidP="00F02309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NSSU.DFP.271.47.2019.EP                                                                                                                                                     </w:t>
    </w:r>
  </w:p>
  <w:p w14:paraId="526D7636" w14:textId="77777777" w:rsidR="00F02309" w:rsidRPr="00784206" w:rsidRDefault="00F02309" w:rsidP="00F02309">
    <w:pPr>
      <w:jc w:val="right"/>
      <w:rPr>
        <w:rFonts w:ascii="Garamond" w:hAnsi="Garamond"/>
        <w:sz w:val="22"/>
        <w:szCs w:val="22"/>
      </w:rPr>
    </w:pPr>
    <w:r w:rsidRPr="00784206">
      <w:rPr>
        <w:rFonts w:ascii="Garamond" w:hAnsi="Garamond"/>
        <w:bCs/>
        <w:sz w:val="22"/>
        <w:szCs w:val="22"/>
      </w:rPr>
      <w:t>Załącznik 1b do specyfikacji</w:t>
    </w:r>
  </w:p>
  <w:p w14:paraId="4C5CDB12" w14:textId="77777777" w:rsidR="00F02309" w:rsidRPr="00F02309" w:rsidRDefault="00F02309" w:rsidP="00F02309">
    <w:pPr>
      <w:pStyle w:val="Nagwek"/>
      <w:jc w:val="center"/>
      <w:rPr>
        <w:b/>
      </w:rPr>
    </w:pPr>
    <w:r w:rsidRPr="00F02309">
      <w:rPr>
        <w:rFonts w:ascii="Garamond" w:hAnsi="Garamond"/>
        <w:b/>
        <w:bCs/>
        <w:sz w:val="22"/>
        <w:szCs w:val="22"/>
      </w:rPr>
      <w:t>Część  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F2"/>
    <w:rsid w:val="000C37E7"/>
    <w:rsid w:val="00236071"/>
    <w:rsid w:val="002669ED"/>
    <w:rsid w:val="002A0885"/>
    <w:rsid w:val="00302340"/>
    <w:rsid w:val="005F50F2"/>
    <w:rsid w:val="007130A5"/>
    <w:rsid w:val="008255FA"/>
    <w:rsid w:val="00831979"/>
    <w:rsid w:val="00873BAE"/>
    <w:rsid w:val="009265D5"/>
    <w:rsid w:val="00993032"/>
    <w:rsid w:val="00AA2292"/>
    <w:rsid w:val="00AC16C6"/>
    <w:rsid w:val="00B13504"/>
    <w:rsid w:val="00B86E0D"/>
    <w:rsid w:val="00BD0329"/>
    <w:rsid w:val="00C074F9"/>
    <w:rsid w:val="00DA4B42"/>
    <w:rsid w:val="00DD69B3"/>
    <w:rsid w:val="00E83345"/>
    <w:rsid w:val="00F02309"/>
    <w:rsid w:val="00F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36B2"/>
  <w15:docId w15:val="{5BA9BB01-6DA0-45F3-BB89-42B16BBDA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0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C16C6"/>
    <w:pPr>
      <w:keepNext/>
      <w:outlineLvl w:val="2"/>
    </w:pPr>
    <w:rPr>
      <w:rFonts w:eastAsia="Times New Roman"/>
      <w:b/>
      <w:bCs/>
      <w:color w:val="FF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F50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50F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023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230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02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309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C16C6"/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37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37E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37E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37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37E7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7E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7E7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jakubowicz</dc:creator>
  <cp:lastModifiedBy>Edyta Prokopiuk</cp:lastModifiedBy>
  <cp:revision>8</cp:revision>
  <cp:lastPrinted>2019-07-19T08:15:00Z</cp:lastPrinted>
  <dcterms:created xsi:type="dcterms:W3CDTF">2019-06-17T16:26:00Z</dcterms:created>
  <dcterms:modified xsi:type="dcterms:W3CDTF">2019-07-19T08:15:00Z</dcterms:modified>
</cp:coreProperties>
</file>