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D7B86" w14:textId="77777777" w:rsidR="002669ED" w:rsidRDefault="002669ED" w:rsidP="002669ED">
      <w:pPr>
        <w:jc w:val="center"/>
        <w:rPr>
          <w:rFonts w:ascii="Garamond" w:eastAsia="Times New Roman" w:hAnsi="Garamond"/>
          <w:sz w:val="22"/>
          <w:szCs w:val="32"/>
        </w:rPr>
      </w:pPr>
    </w:p>
    <w:p w14:paraId="7CA8A78E" w14:textId="77777777" w:rsidR="002669ED" w:rsidRDefault="008E601B" w:rsidP="008E601B">
      <w:pPr>
        <w:jc w:val="right"/>
        <w:rPr>
          <w:rFonts w:ascii="Garamond" w:eastAsia="Times New Roman" w:hAnsi="Garamond"/>
          <w:sz w:val="22"/>
          <w:szCs w:val="32"/>
        </w:rPr>
      </w:pPr>
      <w:r>
        <w:rPr>
          <w:rFonts w:ascii="Garamond" w:eastAsia="Times New Roman" w:hAnsi="Garamond"/>
          <w:sz w:val="22"/>
          <w:szCs w:val="32"/>
        </w:rPr>
        <w:t xml:space="preserve">Załącznik nr </w:t>
      </w:r>
      <w:r w:rsidR="006103DF">
        <w:rPr>
          <w:rFonts w:ascii="Garamond" w:eastAsia="Times New Roman" w:hAnsi="Garamond"/>
          <w:sz w:val="22"/>
          <w:szCs w:val="32"/>
        </w:rPr>
        <w:t>10</w:t>
      </w:r>
    </w:p>
    <w:p w14:paraId="6D30F7A8" w14:textId="77777777" w:rsidR="002669ED" w:rsidRPr="007E355E" w:rsidRDefault="007E355E" w:rsidP="007E355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>
        <w:rPr>
          <w:rFonts w:ascii="Garamond" w:hAnsi="Garamond"/>
          <w:b/>
          <w:color w:val="002060"/>
          <w:sz w:val="22"/>
          <w:szCs w:val="22"/>
        </w:rPr>
        <w:t>t</w:t>
      </w:r>
      <w:r w:rsidR="002669ED" w:rsidRPr="007E355E">
        <w:rPr>
          <w:rFonts w:ascii="Garamond" w:hAnsi="Garamond"/>
          <w:b/>
          <w:color w:val="002060"/>
          <w:sz w:val="22"/>
          <w:szCs w:val="22"/>
        </w:rPr>
        <w:t>est</w:t>
      </w:r>
      <w:r w:rsidRPr="007E355E">
        <w:rPr>
          <w:rFonts w:ascii="Garamond" w:hAnsi="Garamond"/>
          <w:b/>
          <w:color w:val="002060"/>
          <w:sz w:val="22"/>
          <w:szCs w:val="22"/>
        </w:rPr>
        <w:t>u immunoenzymatycznego</w:t>
      </w:r>
      <w:r w:rsidR="002669ED" w:rsidRPr="007E355E">
        <w:rPr>
          <w:rFonts w:ascii="Garamond" w:hAnsi="Garamond"/>
          <w:b/>
          <w:color w:val="002060"/>
          <w:sz w:val="22"/>
          <w:szCs w:val="22"/>
        </w:rPr>
        <w:t xml:space="preserve"> in vitro do oznaczania przeciwciał anty-</w:t>
      </w:r>
      <w:proofErr w:type="spellStart"/>
      <w:r w:rsidR="002669ED" w:rsidRPr="007E355E">
        <w:rPr>
          <w:rFonts w:ascii="Garamond" w:hAnsi="Garamond"/>
          <w:b/>
          <w:color w:val="002060"/>
          <w:sz w:val="22"/>
          <w:szCs w:val="22"/>
        </w:rPr>
        <w:t>Parvowirus</w:t>
      </w:r>
      <w:proofErr w:type="spellEnd"/>
      <w:r w:rsidR="002669ED" w:rsidRPr="007E355E">
        <w:rPr>
          <w:rFonts w:ascii="Garamond" w:hAnsi="Garamond"/>
          <w:b/>
          <w:color w:val="002060"/>
          <w:sz w:val="22"/>
          <w:szCs w:val="22"/>
        </w:rPr>
        <w:t xml:space="preserve"> B19 </w:t>
      </w:r>
      <w:proofErr w:type="spellStart"/>
      <w:r w:rsidR="002669ED" w:rsidRPr="007E355E">
        <w:rPr>
          <w:rFonts w:ascii="Garamond" w:hAnsi="Garamond"/>
          <w:b/>
          <w:color w:val="002060"/>
          <w:sz w:val="22"/>
          <w:szCs w:val="22"/>
        </w:rPr>
        <w:t>IgM</w:t>
      </w:r>
      <w:proofErr w:type="spellEnd"/>
      <w:r w:rsidR="002669ED" w:rsidRPr="007E355E">
        <w:rPr>
          <w:rFonts w:ascii="Garamond" w:hAnsi="Garamond"/>
          <w:b/>
          <w:color w:val="002060"/>
          <w:sz w:val="22"/>
          <w:szCs w:val="22"/>
        </w:rPr>
        <w:t xml:space="preserve"> </w:t>
      </w:r>
      <w:r w:rsidRPr="007E355E">
        <w:rPr>
          <w:rFonts w:ascii="Garamond" w:hAnsi="Garamond"/>
          <w:b/>
          <w:color w:val="002060"/>
          <w:sz w:val="22"/>
          <w:szCs w:val="22"/>
        </w:rPr>
        <w:t xml:space="preserve"> </w:t>
      </w:r>
      <w:r w:rsidR="002669ED" w:rsidRPr="007E355E">
        <w:rPr>
          <w:rFonts w:ascii="Garamond" w:hAnsi="Garamond"/>
          <w:b/>
          <w:color w:val="002060"/>
          <w:sz w:val="22"/>
          <w:szCs w:val="22"/>
        </w:rPr>
        <w:t>(jakościowo) w ludzkiej surowicy lub osoczu</w:t>
      </w:r>
    </w:p>
    <w:p w14:paraId="0A99D8A7" w14:textId="77777777" w:rsidR="007E355E" w:rsidRDefault="007E355E" w:rsidP="007E355E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p w14:paraId="4B193271" w14:textId="77777777" w:rsidR="007E355E" w:rsidRPr="007E355E" w:rsidRDefault="007E355E" w:rsidP="007E355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7E355E">
        <w:rPr>
          <w:rFonts w:ascii="Garamond" w:hAnsi="Garamond"/>
          <w:b/>
          <w:color w:val="002060"/>
          <w:sz w:val="22"/>
          <w:szCs w:val="22"/>
        </w:rPr>
        <w:t>Część 14 poz. 1</w:t>
      </w:r>
    </w:p>
    <w:p w14:paraId="20B10699" w14:textId="77777777" w:rsidR="002669ED" w:rsidRPr="007E355E" w:rsidRDefault="002669ED" w:rsidP="002669ED">
      <w:pPr>
        <w:jc w:val="center"/>
        <w:rPr>
          <w:rFonts w:ascii="Garamond" w:hAnsi="Garamond"/>
          <w:b/>
          <w:color w:val="002060"/>
          <w:sz w:val="22"/>
          <w:szCs w:val="2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207"/>
        <w:gridCol w:w="2431"/>
      </w:tblGrid>
      <w:tr w:rsidR="007E355E" w:rsidRPr="002669ED" w14:paraId="6F92FEA0" w14:textId="77777777" w:rsidTr="007E355E">
        <w:trPr>
          <w:trHeight w:val="759"/>
        </w:trPr>
        <w:tc>
          <w:tcPr>
            <w:tcW w:w="0" w:type="auto"/>
            <w:shd w:val="clear" w:color="auto" w:fill="auto"/>
            <w:vAlign w:val="center"/>
          </w:tcPr>
          <w:p w14:paraId="4256E47D" w14:textId="77777777" w:rsidR="007E355E" w:rsidRPr="00C50CE9" w:rsidRDefault="007E355E" w:rsidP="007E35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A885F23" w14:textId="77777777" w:rsidR="007E355E" w:rsidRPr="00C50CE9" w:rsidRDefault="007E355E" w:rsidP="007E355E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7CB67F61" w14:textId="77777777" w:rsidR="007E355E" w:rsidRPr="00C50CE9" w:rsidRDefault="007E355E" w:rsidP="007E35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004198E3" w14:textId="77777777" w:rsidR="007E355E" w:rsidRPr="00C50CE9" w:rsidRDefault="007E355E" w:rsidP="007E35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2669ED" w:rsidRPr="002669ED" w14:paraId="2C6B58A8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3F28E0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1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130FFF0E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Test immunoenzymatyczny (ELISA) przeznaczony do jakościowego wykrywania przeciwciał klasy </w:t>
            </w:r>
            <w:proofErr w:type="spellStart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IgM</w:t>
            </w:r>
            <w:proofErr w:type="spellEnd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przeciw </w:t>
            </w:r>
            <w:proofErr w:type="spellStart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Parvowirusowi</w:t>
            </w:r>
            <w:proofErr w:type="spellEnd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B19 w surowicy, osoczu ludzkim (EDTA), wykorzystujący metodę </w:t>
            </w:r>
            <w:r w:rsidR="00B13504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„</w:t>
            </w: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sandwich”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7B8824B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6CC653ED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D34DD9B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2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0263C1A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Zestaw zawierający bufor do rozcieńczeń próbek i bufor do płukania</w:t>
            </w:r>
            <w:r w:rsidR="001647D2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, </w:t>
            </w:r>
            <w:r w:rsidR="001647D2" w:rsidRPr="00C074F9">
              <w:rPr>
                <w:rFonts w:ascii="Garamond" w:eastAsia="Times New Roman" w:hAnsi="Garamond"/>
                <w:sz w:val="22"/>
                <w:szCs w:val="22"/>
              </w:rPr>
              <w:t>kontrolę dodatnią, kontrolę ujemną oraz kontrolę odcinającą  ewentualnie kalibratory oraz folię ochronną</w:t>
            </w:r>
            <w:r w:rsidR="001647D2">
              <w:rPr>
                <w:rFonts w:ascii="Garamond" w:eastAsia="Times New Roman" w:hAnsi="Garamond"/>
                <w:sz w:val="22"/>
                <w:szCs w:val="22"/>
              </w:rPr>
              <w:t xml:space="preserve"> do zabezpieczenia dołków podczas inkubacji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5DCA583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4F8666E1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F8E93ED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3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BCDA311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Termin stabilności buforu do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płukania po rozcieńczeniu (1x)</w:t>
            </w: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2 tygodnie lub dłuższy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AF5B750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303F8C7A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225B860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4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C1F37A2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Detekcja oparta na reakcji barwnej – odczyt gęstości optycznej przy długości fali 450nm i/lub 620nm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44A605F6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26EFC901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10FD038F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5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557E3341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Czułość wykrywania przeciwciał ≥96%, swoistość testu ≥96%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65812831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1308503C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57FEDFBD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6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7DA2E39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Przejrzyście podane kryteria interpretacji wyniku z uwzględnieniem wyniku ujemnego, dodatniego ewentualnie pośredniego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(</w:t>
            </w:r>
            <w:r w:rsidR="00B13504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wątpliwego)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82C355F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17D8E933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0FAD5A7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7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1E348EC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Instrukcja wykonania w języku polskim</w:t>
            </w:r>
            <w:r w:rsidR="001647D2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zawierająca informacje o reakcjach krzyżowych i ograniczeniach testu i </w:t>
            </w:r>
            <w:r w:rsidR="00B13504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dodatkowo </w:t>
            </w:r>
            <w:r w:rsidR="001647D2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instrukcja w </w:t>
            </w:r>
            <w:r w:rsidR="00B13504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języku angielskim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7717D19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30721479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776F715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8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9F1CB41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Okres ważności nie krótszy niż 6 miesięcy od daty dostawy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3C0F425F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2669ED" w:rsidRPr="002669ED" w14:paraId="001B902F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23883742" w14:textId="77777777" w:rsidR="002669ED" w:rsidRPr="002669ED" w:rsidRDefault="002669ED" w:rsidP="002669ED">
            <w:pPr>
              <w:keepNext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9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3BBC9586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Odczynniki tego samego producenta do oznaczenia obu klas przeciwciał </w:t>
            </w:r>
          </w:p>
          <w:p w14:paraId="4CC11882" w14:textId="77777777" w:rsidR="002669ED" w:rsidRPr="002669ED" w:rsidRDefault="002669ED" w:rsidP="003317DA">
            <w:pPr>
              <w:keepNext/>
              <w:jc w:val="both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(</w:t>
            </w:r>
            <w:proofErr w:type="spellStart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IgG</w:t>
            </w:r>
            <w:proofErr w:type="spellEnd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i </w:t>
            </w:r>
            <w:proofErr w:type="spellStart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IgM</w:t>
            </w:r>
            <w:proofErr w:type="spellEnd"/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)</w:t>
            </w:r>
          </w:p>
        </w:tc>
        <w:tc>
          <w:tcPr>
            <w:tcW w:w="2431" w:type="dxa"/>
            <w:shd w:val="clear" w:color="auto" w:fill="auto"/>
            <w:vAlign w:val="center"/>
          </w:tcPr>
          <w:p w14:paraId="26D62379" w14:textId="77777777" w:rsidR="002669ED" w:rsidRPr="002669ED" w:rsidRDefault="002669ED" w:rsidP="002669ED">
            <w:pPr>
              <w:keepNext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</w:p>
        </w:tc>
      </w:tr>
      <w:tr w:rsidR="00C074F9" w:rsidRPr="002669ED" w14:paraId="474495F0" w14:textId="77777777" w:rsidTr="007E355E">
        <w:trPr>
          <w:trHeight w:val="567"/>
        </w:trPr>
        <w:tc>
          <w:tcPr>
            <w:tcW w:w="0" w:type="auto"/>
            <w:shd w:val="clear" w:color="auto" w:fill="auto"/>
          </w:tcPr>
          <w:p w14:paraId="3C770988" w14:textId="77777777" w:rsidR="00C074F9" w:rsidRDefault="00C074F9">
            <w:r>
              <w:rPr>
                <w:rFonts w:ascii="Garamond" w:eastAsia="Times New Roman" w:hAnsi="Garamond"/>
                <w:sz w:val="22"/>
                <w:szCs w:val="22"/>
              </w:rPr>
              <w:t>10</w:t>
            </w:r>
          </w:p>
        </w:tc>
        <w:tc>
          <w:tcPr>
            <w:tcW w:w="7207" w:type="dxa"/>
            <w:shd w:val="clear" w:color="auto" w:fill="auto"/>
          </w:tcPr>
          <w:p w14:paraId="3DB57190" w14:textId="77777777" w:rsidR="00C074F9" w:rsidRDefault="00C074F9" w:rsidP="003317DA">
            <w:pPr>
              <w:jc w:val="both"/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Producent lub podmiot odpowiedzialny zapewnia pomoc merytoryczną i techniczną na każdym etapie wykonania procedury</w:t>
            </w:r>
          </w:p>
        </w:tc>
        <w:tc>
          <w:tcPr>
            <w:tcW w:w="2431" w:type="dxa"/>
            <w:shd w:val="clear" w:color="auto" w:fill="auto"/>
          </w:tcPr>
          <w:p w14:paraId="74D26A4A" w14:textId="77777777" w:rsidR="00C074F9" w:rsidRDefault="00C074F9"/>
        </w:tc>
      </w:tr>
    </w:tbl>
    <w:p w14:paraId="2D38F82C" w14:textId="77777777" w:rsidR="007E355E" w:rsidRDefault="007E355E" w:rsidP="007E355E">
      <w:pPr>
        <w:rPr>
          <w:rFonts w:ascii="Garamond" w:hAnsi="Garamond"/>
          <w:b/>
          <w:sz w:val="22"/>
          <w:szCs w:val="22"/>
        </w:rPr>
      </w:pPr>
    </w:p>
    <w:p w14:paraId="7D957D9B" w14:textId="77777777" w:rsidR="007E355E" w:rsidRPr="007145B4" w:rsidRDefault="007E355E" w:rsidP="007E355E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6B00AA67" w14:textId="77777777" w:rsidR="007E355E" w:rsidRPr="007145B4" w:rsidRDefault="007E355E" w:rsidP="007E355E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13961E71" w14:textId="77777777" w:rsidR="008E601B" w:rsidRDefault="002669ED" w:rsidP="002669ED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18"/>
          <w:szCs w:val="32"/>
        </w:rPr>
      </w:pPr>
      <w:r w:rsidRPr="002669ED">
        <w:rPr>
          <w:rFonts w:ascii="Cambria" w:eastAsia="Times New Roman" w:hAnsi="Cambria"/>
          <w:b/>
          <w:bCs/>
          <w:kern w:val="32"/>
          <w:sz w:val="18"/>
          <w:szCs w:val="32"/>
        </w:rPr>
        <w:br w:type="page"/>
      </w:r>
    </w:p>
    <w:p w14:paraId="011A939F" w14:textId="77777777" w:rsidR="008E601B" w:rsidRDefault="008E601B" w:rsidP="002669ED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18"/>
          <w:szCs w:val="32"/>
        </w:rPr>
      </w:pPr>
    </w:p>
    <w:p w14:paraId="739DE192" w14:textId="77777777" w:rsidR="002669ED" w:rsidRDefault="007E355E" w:rsidP="002669ED">
      <w:pPr>
        <w:keepNext/>
        <w:spacing w:before="240" w:after="60"/>
        <w:jc w:val="center"/>
        <w:outlineLvl w:val="0"/>
        <w:rPr>
          <w:rFonts w:ascii="Garamond" w:hAnsi="Garamond"/>
          <w:b/>
          <w:color w:val="002060"/>
          <w:sz w:val="22"/>
          <w:szCs w:val="22"/>
        </w:rPr>
      </w:pPr>
      <w:r>
        <w:rPr>
          <w:rFonts w:ascii="Garamond" w:hAnsi="Garamond"/>
          <w:b/>
          <w:color w:val="002060"/>
          <w:sz w:val="22"/>
          <w:szCs w:val="22"/>
        </w:rPr>
        <w:t>Wymagania graniczne dla</w:t>
      </w:r>
      <w:r w:rsidRPr="00057A45">
        <w:rPr>
          <w:rFonts w:ascii="Garamond" w:hAnsi="Garamond"/>
          <w:b/>
          <w:color w:val="002060"/>
          <w:sz w:val="22"/>
          <w:szCs w:val="22"/>
        </w:rPr>
        <w:t xml:space="preserve"> </w:t>
      </w:r>
      <w:r>
        <w:rPr>
          <w:rFonts w:ascii="Garamond" w:hAnsi="Garamond"/>
          <w:b/>
          <w:color w:val="002060"/>
          <w:sz w:val="22"/>
          <w:szCs w:val="22"/>
        </w:rPr>
        <w:t>t</w:t>
      </w:r>
      <w:r w:rsidRPr="007E355E">
        <w:rPr>
          <w:rFonts w:ascii="Garamond" w:hAnsi="Garamond"/>
          <w:b/>
          <w:color w:val="002060"/>
          <w:sz w:val="22"/>
          <w:szCs w:val="22"/>
        </w:rPr>
        <w:t xml:space="preserve">estu immunoenzymatycznego in vitro </w:t>
      </w:r>
      <w:r w:rsidR="002669ED" w:rsidRPr="007E355E">
        <w:rPr>
          <w:rFonts w:ascii="Garamond" w:hAnsi="Garamond"/>
          <w:b/>
          <w:color w:val="002060"/>
          <w:sz w:val="22"/>
          <w:szCs w:val="22"/>
        </w:rPr>
        <w:t>do oznaczania przeciwciał anty-</w:t>
      </w:r>
      <w:proofErr w:type="spellStart"/>
      <w:r w:rsidR="002669ED" w:rsidRPr="007E355E">
        <w:rPr>
          <w:rFonts w:ascii="Garamond" w:hAnsi="Garamond"/>
          <w:b/>
          <w:color w:val="002060"/>
          <w:sz w:val="22"/>
          <w:szCs w:val="22"/>
        </w:rPr>
        <w:t>Parvowirus</w:t>
      </w:r>
      <w:proofErr w:type="spellEnd"/>
      <w:r w:rsidR="002669ED" w:rsidRPr="007E355E">
        <w:rPr>
          <w:rFonts w:ascii="Garamond" w:hAnsi="Garamond"/>
          <w:b/>
          <w:color w:val="002060"/>
          <w:sz w:val="22"/>
          <w:szCs w:val="22"/>
        </w:rPr>
        <w:t xml:space="preserve"> B19 </w:t>
      </w:r>
      <w:proofErr w:type="spellStart"/>
      <w:r w:rsidR="002669ED" w:rsidRPr="007E355E">
        <w:rPr>
          <w:rFonts w:ascii="Garamond" w:hAnsi="Garamond"/>
          <w:b/>
          <w:color w:val="002060"/>
          <w:sz w:val="22"/>
          <w:szCs w:val="22"/>
        </w:rPr>
        <w:t>IgG</w:t>
      </w:r>
      <w:proofErr w:type="spellEnd"/>
      <w:r w:rsidR="002669ED" w:rsidRPr="007E355E">
        <w:rPr>
          <w:rFonts w:ascii="Garamond" w:hAnsi="Garamond"/>
          <w:b/>
          <w:color w:val="002060"/>
          <w:sz w:val="22"/>
          <w:szCs w:val="22"/>
        </w:rPr>
        <w:t xml:space="preserve"> (ilościowo/półilościowo) w ludzkiej surowicy lub osoczu</w:t>
      </w:r>
    </w:p>
    <w:p w14:paraId="0AE3A1B1" w14:textId="77777777" w:rsidR="007E355E" w:rsidRPr="007E355E" w:rsidRDefault="007E355E" w:rsidP="007E355E">
      <w:pPr>
        <w:jc w:val="center"/>
        <w:rPr>
          <w:rFonts w:ascii="Garamond" w:hAnsi="Garamond"/>
          <w:b/>
          <w:color w:val="002060"/>
          <w:sz w:val="22"/>
          <w:szCs w:val="22"/>
        </w:rPr>
      </w:pPr>
      <w:r w:rsidRPr="007E355E">
        <w:rPr>
          <w:rFonts w:ascii="Garamond" w:hAnsi="Garamond"/>
          <w:b/>
          <w:color w:val="002060"/>
          <w:sz w:val="22"/>
          <w:szCs w:val="22"/>
        </w:rPr>
        <w:t>Część 14</w:t>
      </w:r>
      <w:r>
        <w:rPr>
          <w:rFonts w:ascii="Garamond" w:hAnsi="Garamond"/>
          <w:b/>
          <w:color w:val="002060"/>
          <w:sz w:val="22"/>
          <w:szCs w:val="22"/>
        </w:rPr>
        <w:t xml:space="preserve"> poz. 2</w:t>
      </w:r>
    </w:p>
    <w:p w14:paraId="59BEC7DC" w14:textId="77777777" w:rsidR="002669ED" w:rsidRPr="002669ED" w:rsidRDefault="002669ED" w:rsidP="002669ED">
      <w:pPr>
        <w:jc w:val="center"/>
        <w:rPr>
          <w:rFonts w:ascii="Garamond" w:eastAsia="Times New Roman" w:hAnsi="Garamond"/>
          <w:b/>
          <w:bCs/>
          <w:sz w:val="22"/>
          <w:szCs w:val="2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7086"/>
        <w:gridCol w:w="2410"/>
      </w:tblGrid>
      <w:tr w:rsidR="007E355E" w:rsidRPr="002669ED" w14:paraId="3E7AE5FB" w14:textId="77777777" w:rsidTr="007E355E">
        <w:tc>
          <w:tcPr>
            <w:tcW w:w="0" w:type="auto"/>
            <w:shd w:val="clear" w:color="auto" w:fill="auto"/>
            <w:vAlign w:val="center"/>
          </w:tcPr>
          <w:p w14:paraId="0706247B" w14:textId="77777777" w:rsidR="007E355E" w:rsidRPr="00C50CE9" w:rsidRDefault="007E355E" w:rsidP="007E35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11B24932" w14:textId="77777777" w:rsidR="007E355E" w:rsidRPr="00C50CE9" w:rsidRDefault="007E355E" w:rsidP="007E355E">
            <w:pPr>
              <w:pStyle w:val="Nagwek3"/>
              <w:spacing w:before="120" w:after="120"/>
              <w:jc w:val="center"/>
              <w:rPr>
                <w:rFonts w:ascii="Garamond" w:hAnsi="Garamond"/>
                <w:color w:val="auto"/>
                <w:sz w:val="22"/>
                <w:szCs w:val="22"/>
              </w:rPr>
            </w:pPr>
            <w:r w:rsidRPr="00C50CE9">
              <w:rPr>
                <w:rFonts w:ascii="Garamond" w:hAnsi="Garamond"/>
                <w:color w:val="auto"/>
                <w:sz w:val="22"/>
                <w:szCs w:val="22"/>
              </w:rPr>
              <w:t>Nazwa parametru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FAEB3B7" w14:textId="77777777" w:rsidR="007E355E" w:rsidRPr="00C50CE9" w:rsidRDefault="007E355E" w:rsidP="007E35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Potwierdzenie spełnienia</w:t>
            </w:r>
          </w:p>
          <w:p w14:paraId="6C31684B" w14:textId="77777777" w:rsidR="007E355E" w:rsidRPr="00C50CE9" w:rsidRDefault="007E355E" w:rsidP="007E355E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C50CE9">
              <w:rPr>
                <w:rFonts w:ascii="Garamond" w:hAnsi="Garamond"/>
                <w:b/>
                <w:sz w:val="22"/>
                <w:szCs w:val="22"/>
              </w:rPr>
              <w:t>(należy wpisać Tak lub Nie)*</w:t>
            </w:r>
          </w:p>
        </w:tc>
      </w:tr>
      <w:tr w:rsidR="002669ED" w:rsidRPr="002669ED" w14:paraId="753FFFCE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0BD594D8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1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1BBBE0F6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 xml:space="preserve">Test immunoenzymatyczny (ELISA) przeznaczony do jakościowego wykrywania przeciwciał klasy </w:t>
            </w:r>
            <w:proofErr w:type="spellStart"/>
            <w:r w:rsidRPr="002669ED">
              <w:rPr>
                <w:rFonts w:ascii="Garamond" w:eastAsia="Times New Roman" w:hAnsi="Garamond"/>
                <w:sz w:val="22"/>
                <w:szCs w:val="22"/>
              </w:rPr>
              <w:t>IgG</w:t>
            </w:r>
            <w:proofErr w:type="spellEnd"/>
            <w:r w:rsidRPr="002669ED">
              <w:rPr>
                <w:rFonts w:ascii="Garamond" w:eastAsia="Times New Roman" w:hAnsi="Garamond"/>
                <w:sz w:val="22"/>
                <w:szCs w:val="22"/>
              </w:rPr>
              <w:t xml:space="preserve"> przeciw </w:t>
            </w:r>
            <w:proofErr w:type="spellStart"/>
            <w:r w:rsidRPr="002669ED">
              <w:rPr>
                <w:rFonts w:ascii="Garamond" w:eastAsia="Times New Roman" w:hAnsi="Garamond"/>
                <w:sz w:val="22"/>
                <w:szCs w:val="22"/>
              </w:rPr>
              <w:t>Parvowirusowi</w:t>
            </w:r>
            <w:proofErr w:type="spellEnd"/>
            <w:r w:rsidRPr="002669ED">
              <w:rPr>
                <w:rFonts w:ascii="Garamond" w:eastAsia="Times New Roman" w:hAnsi="Garamond"/>
                <w:sz w:val="22"/>
                <w:szCs w:val="22"/>
              </w:rPr>
              <w:t xml:space="preserve"> B19 w surowicy, osoczu ludzkim (EDTA), wykorzystujący metodę </w:t>
            </w:r>
            <w:r w:rsidR="00236071">
              <w:rPr>
                <w:rFonts w:ascii="Garamond" w:eastAsia="Times New Roman" w:hAnsi="Garamond"/>
                <w:sz w:val="22"/>
                <w:szCs w:val="22"/>
              </w:rPr>
              <w:t>„</w:t>
            </w:r>
            <w:r w:rsidRPr="002669ED">
              <w:rPr>
                <w:rFonts w:ascii="Garamond" w:eastAsia="Times New Roman" w:hAnsi="Garamond"/>
                <w:sz w:val="22"/>
                <w:szCs w:val="22"/>
              </w:rPr>
              <w:t>sandwich”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1B20394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18EA4D7A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3458722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2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0D5E0297" w14:textId="77777777" w:rsidR="002669ED" w:rsidRPr="002669ED" w:rsidRDefault="001647D2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Zestaw zawierający bufor do rozcieńczeń próbek i bufor do płukania</w:t>
            </w:r>
            <w:r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, </w:t>
            </w:r>
            <w:r w:rsidRPr="00C074F9">
              <w:rPr>
                <w:rFonts w:ascii="Garamond" w:eastAsia="Times New Roman" w:hAnsi="Garamond"/>
                <w:sz w:val="22"/>
                <w:szCs w:val="22"/>
              </w:rPr>
              <w:t>kontrolę dodatnią, kontrolę ujemną oraz kontrolę odcinającą  ewentualnie kalibratory oraz folię ochronną</w:t>
            </w:r>
            <w:r>
              <w:rPr>
                <w:rFonts w:ascii="Garamond" w:eastAsia="Times New Roman" w:hAnsi="Garamond"/>
                <w:sz w:val="22"/>
                <w:szCs w:val="22"/>
              </w:rPr>
              <w:t xml:space="preserve"> do zabezpieczenia dołków podczas inkubacji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A960929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0C067D07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FAB0427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3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0ECB4D46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>Termin stabilności buforu do płukania po rozcieńczeniu (1x) 2 tygodnie lub dłuższy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86028B5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3A74F25C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FF71DC7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4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763E49E2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>Detekcja oparta na reakcji barwnej – odczyt gęstości optycznej przy długości fali 450nm i/lub 620nm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4EA56733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29D09AB9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33827D4D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5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00DD08F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>Czułość wykrywania przeciwciał ≥96%, swoistość testu ≥96%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D06D2C5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45B29048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42CC65CD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6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366A44F6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>Przejrzyście podane kryteria interpretacji wyniku z uwzględnieniem wyniku ujemnego, dodatniego ewentualnie pośredniego.</w:t>
            </w:r>
          </w:p>
        </w:tc>
        <w:tc>
          <w:tcPr>
            <w:tcW w:w="2410" w:type="dxa"/>
            <w:shd w:val="clear" w:color="auto" w:fill="auto"/>
          </w:tcPr>
          <w:p w14:paraId="25E462E4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1F3FFE67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6E55F09F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7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71FCF520" w14:textId="77777777" w:rsidR="002669ED" w:rsidRPr="002669ED" w:rsidRDefault="001647D2" w:rsidP="003317DA">
            <w:pPr>
              <w:tabs>
                <w:tab w:val="left" w:pos="3237"/>
              </w:tabs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Instrukcja wykonania w języku polskim</w:t>
            </w:r>
            <w:r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 xml:space="preserve"> zawierająca informacje o reakcjach krzyżowych i ograniczeniach testu i  dodatkowo instrukcja w języku angielskim</w:t>
            </w:r>
            <w:r w:rsidR="003317DA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054C616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61117701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50F8909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8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70091361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>Okres ważności testu nie krótszy niż 6 miesięcy od daty dostawy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27396CD9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2669ED" w:rsidRPr="002669ED" w14:paraId="454878AA" w14:textId="77777777" w:rsidTr="007E355E">
        <w:trPr>
          <w:trHeight w:val="567"/>
        </w:trPr>
        <w:tc>
          <w:tcPr>
            <w:tcW w:w="0" w:type="auto"/>
            <w:shd w:val="clear" w:color="auto" w:fill="auto"/>
            <w:vAlign w:val="center"/>
          </w:tcPr>
          <w:p w14:paraId="760F47B6" w14:textId="77777777" w:rsidR="002669ED" w:rsidRPr="002669ED" w:rsidRDefault="002669ED" w:rsidP="002669ED">
            <w:pPr>
              <w:keepNext/>
              <w:spacing w:before="240" w:after="60"/>
              <w:jc w:val="center"/>
              <w:outlineLvl w:val="0"/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bCs/>
                <w:kern w:val="32"/>
                <w:sz w:val="22"/>
                <w:szCs w:val="22"/>
              </w:rPr>
              <w:t>9</w:t>
            </w:r>
          </w:p>
        </w:tc>
        <w:tc>
          <w:tcPr>
            <w:tcW w:w="7086" w:type="dxa"/>
            <w:shd w:val="clear" w:color="auto" w:fill="auto"/>
            <w:vAlign w:val="center"/>
          </w:tcPr>
          <w:p w14:paraId="433F15F7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 xml:space="preserve">Odczynniki tego samego producenta do oznaczenia obu klas przeciwciał </w:t>
            </w:r>
          </w:p>
          <w:p w14:paraId="663A8084" w14:textId="77777777" w:rsidR="002669ED" w:rsidRPr="002669ED" w:rsidRDefault="002669ED" w:rsidP="003317DA">
            <w:pPr>
              <w:jc w:val="both"/>
              <w:rPr>
                <w:rFonts w:ascii="Garamond" w:eastAsia="Times New Roman" w:hAnsi="Garamond"/>
                <w:sz w:val="22"/>
                <w:szCs w:val="22"/>
              </w:rPr>
            </w:pPr>
            <w:r w:rsidRPr="002669ED">
              <w:rPr>
                <w:rFonts w:ascii="Garamond" w:eastAsia="Times New Roman" w:hAnsi="Garamond"/>
                <w:sz w:val="22"/>
                <w:szCs w:val="22"/>
              </w:rPr>
              <w:t>(</w:t>
            </w:r>
            <w:proofErr w:type="spellStart"/>
            <w:r w:rsidRPr="002669ED">
              <w:rPr>
                <w:rFonts w:ascii="Garamond" w:eastAsia="Times New Roman" w:hAnsi="Garamond"/>
                <w:sz w:val="22"/>
                <w:szCs w:val="22"/>
              </w:rPr>
              <w:t>IgG</w:t>
            </w:r>
            <w:proofErr w:type="spellEnd"/>
            <w:r w:rsidRPr="002669ED">
              <w:rPr>
                <w:rFonts w:ascii="Garamond" w:eastAsia="Times New Roman" w:hAnsi="Garamond"/>
                <w:sz w:val="22"/>
                <w:szCs w:val="22"/>
              </w:rPr>
              <w:t xml:space="preserve"> i </w:t>
            </w:r>
            <w:proofErr w:type="spellStart"/>
            <w:r w:rsidRPr="002669ED">
              <w:rPr>
                <w:rFonts w:ascii="Garamond" w:eastAsia="Times New Roman" w:hAnsi="Garamond"/>
                <w:sz w:val="22"/>
                <w:szCs w:val="22"/>
              </w:rPr>
              <w:t>IgM</w:t>
            </w:r>
            <w:proofErr w:type="spellEnd"/>
            <w:r w:rsidRPr="002669ED">
              <w:rPr>
                <w:rFonts w:ascii="Garamond" w:eastAsia="Times New Roman" w:hAnsi="Garamond"/>
                <w:sz w:val="22"/>
                <w:szCs w:val="22"/>
              </w:rPr>
              <w:t>)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6D613559" w14:textId="77777777" w:rsidR="002669ED" w:rsidRPr="002669ED" w:rsidRDefault="002669ED" w:rsidP="002669ED">
            <w:pPr>
              <w:jc w:val="center"/>
              <w:rPr>
                <w:rFonts w:ascii="Garamond" w:eastAsia="Times New Roman" w:hAnsi="Garamond"/>
                <w:sz w:val="22"/>
                <w:szCs w:val="22"/>
              </w:rPr>
            </w:pPr>
          </w:p>
        </w:tc>
      </w:tr>
      <w:tr w:rsidR="00C074F9" w:rsidRPr="002669ED" w14:paraId="4BA1D8B9" w14:textId="77777777" w:rsidTr="007E355E">
        <w:trPr>
          <w:trHeight w:val="567"/>
        </w:trPr>
        <w:tc>
          <w:tcPr>
            <w:tcW w:w="0" w:type="auto"/>
            <w:shd w:val="clear" w:color="auto" w:fill="auto"/>
          </w:tcPr>
          <w:p w14:paraId="0849E9CD" w14:textId="77777777" w:rsidR="00C074F9" w:rsidRDefault="00C074F9">
            <w:r>
              <w:rPr>
                <w:rFonts w:ascii="Garamond" w:eastAsia="Times New Roman" w:hAnsi="Garamond"/>
                <w:sz w:val="22"/>
                <w:szCs w:val="22"/>
              </w:rPr>
              <w:t>10</w:t>
            </w:r>
          </w:p>
        </w:tc>
        <w:tc>
          <w:tcPr>
            <w:tcW w:w="7086" w:type="dxa"/>
            <w:shd w:val="clear" w:color="auto" w:fill="auto"/>
          </w:tcPr>
          <w:p w14:paraId="169B215C" w14:textId="77777777" w:rsidR="00C074F9" w:rsidRDefault="00C074F9" w:rsidP="003317DA">
            <w:pPr>
              <w:jc w:val="both"/>
            </w:pPr>
            <w:r w:rsidRPr="00C074F9">
              <w:rPr>
                <w:rFonts w:ascii="Garamond" w:eastAsia="Times New Roman" w:hAnsi="Garamond"/>
                <w:sz w:val="22"/>
                <w:szCs w:val="22"/>
              </w:rPr>
              <w:t>Producent lub podmiot odpowiedzialny zapewnia pomoc merytoryczną i techniczną na każdym etapie wykonania procedury</w:t>
            </w:r>
            <w:r w:rsidR="003317DA">
              <w:rPr>
                <w:rFonts w:ascii="Garamond" w:eastAsia="Times New Roman" w:hAnsi="Garamond"/>
                <w:sz w:val="22"/>
                <w:szCs w:val="22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585B8FA0" w14:textId="77777777" w:rsidR="00C074F9" w:rsidRDefault="00C074F9"/>
        </w:tc>
      </w:tr>
    </w:tbl>
    <w:p w14:paraId="1B0404C1" w14:textId="77777777" w:rsidR="007E355E" w:rsidRDefault="007E355E" w:rsidP="007E355E">
      <w:pPr>
        <w:rPr>
          <w:rFonts w:ascii="Garamond" w:hAnsi="Garamond"/>
          <w:b/>
          <w:sz w:val="22"/>
          <w:szCs w:val="22"/>
        </w:rPr>
      </w:pPr>
    </w:p>
    <w:p w14:paraId="043727E6" w14:textId="77777777" w:rsidR="007E355E" w:rsidRPr="007145B4" w:rsidRDefault="007E355E" w:rsidP="007E355E">
      <w:pPr>
        <w:rPr>
          <w:rFonts w:ascii="Garamond" w:hAnsi="Garamond"/>
          <w:b/>
          <w:sz w:val="22"/>
          <w:szCs w:val="22"/>
        </w:rPr>
      </w:pPr>
      <w:r w:rsidRPr="007145B4">
        <w:rPr>
          <w:rFonts w:ascii="Garamond" w:hAnsi="Garamond"/>
          <w:b/>
          <w:sz w:val="22"/>
          <w:szCs w:val="22"/>
        </w:rPr>
        <w:t xml:space="preserve">*Uwaga! </w:t>
      </w:r>
    </w:p>
    <w:p w14:paraId="5302567B" w14:textId="77777777" w:rsidR="007E355E" w:rsidRPr="007145B4" w:rsidRDefault="007E355E" w:rsidP="007E355E">
      <w:pPr>
        <w:jc w:val="both"/>
        <w:rPr>
          <w:rFonts w:ascii="Garamond" w:hAnsi="Garamond"/>
          <w:color w:val="FF0000"/>
          <w:sz w:val="22"/>
          <w:szCs w:val="22"/>
        </w:rPr>
      </w:pPr>
      <w:r w:rsidRPr="007145B4">
        <w:rPr>
          <w:rFonts w:ascii="Garamond" w:hAnsi="Garamond"/>
          <w:color w:val="FF0000"/>
          <w:sz w:val="22"/>
          <w:szCs w:val="22"/>
        </w:rPr>
        <w:t>Nie spełnienie któregokolwiek z wymagań granicznych przedstawionych w tabeli powy</w:t>
      </w:r>
      <w:r>
        <w:rPr>
          <w:rFonts w:ascii="Garamond" w:hAnsi="Garamond"/>
          <w:color w:val="FF0000"/>
          <w:sz w:val="22"/>
          <w:szCs w:val="22"/>
        </w:rPr>
        <w:t>żej spowoduje odrzucenie oferty.</w:t>
      </w:r>
      <w:r w:rsidRPr="007145B4">
        <w:rPr>
          <w:rFonts w:ascii="Garamond" w:hAnsi="Garamond"/>
          <w:color w:val="FF0000"/>
          <w:sz w:val="22"/>
          <w:szCs w:val="22"/>
        </w:rPr>
        <w:t xml:space="preserve"> </w:t>
      </w:r>
    </w:p>
    <w:p w14:paraId="1BBC81CE" w14:textId="77777777" w:rsidR="002669ED" w:rsidRPr="002669ED" w:rsidRDefault="002669ED" w:rsidP="002669ED">
      <w:pPr>
        <w:keepNext/>
        <w:outlineLvl w:val="3"/>
        <w:rPr>
          <w:rFonts w:ascii="Garamond" w:eastAsia="Times New Roman" w:hAnsi="Garamond"/>
          <w:bCs/>
          <w:sz w:val="18"/>
          <w:szCs w:val="18"/>
        </w:rPr>
      </w:pPr>
    </w:p>
    <w:p w14:paraId="29CC7C80" w14:textId="77777777" w:rsidR="002669ED" w:rsidRDefault="002669ED" w:rsidP="002669ED">
      <w:pPr>
        <w:rPr>
          <w:rFonts w:eastAsia="Times New Roman"/>
          <w:b/>
          <w:sz w:val="28"/>
          <w:szCs w:val="32"/>
        </w:rPr>
      </w:pPr>
    </w:p>
    <w:p w14:paraId="24D10AFA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029ECF72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21890BDA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21986FF5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700BD89A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11817A8B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2F46DDDF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4CBA7067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p w14:paraId="277708B2" w14:textId="77777777" w:rsidR="00BD0329" w:rsidRDefault="00BD0329" w:rsidP="002669ED">
      <w:pPr>
        <w:rPr>
          <w:rFonts w:eastAsia="Times New Roman"/>
          <w:b/>
          <w:sz w:val="28"/>
          <w:szCs w:val="32"/>
        </w:rPr>
      </w:pPr>
    </w:p>
    <w:sectPr w:rsidR="00BD03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F0FA01" w14:textId="77777777" w:rsidR="00C72630" w:rsidRDefault="00C72630" w:rsidP="007E355E">
      <w:r>
        <w:separator/>
      </w:r>
    </w:p>
  </w:endnote>
  <w:endnote w:type="continuationSeparator" w:id="0">
    <w:p w14:paraId="108A1675" w14:textId="77777777" w:rsidR="00C72630" w:rsidRDefault="00C72630" w:rsidP="007E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EF3ED" w14:textId="77777777" w:rsidR="00477694" w:rsidRDefault="004776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AECD04" w14:textId="43B748F1" w:rsidR="00A50F92" w:rsidRDefault="00A50F92" w:rsidP="00A50F92">
    <w:pPr>
      <w:pStyle w:val="Stopka"/>
      <w:jc w:val="center"/>
      <w:rPr>
        <w:rFonts w:ascii="Garamond" w:hAnsi="Garamond"/>
        <w:b/>
        <w:bCs/>
        <w:sz w:val="20"/>
        <w:szCs w:val="20"/>
      </w:rPr>
    </w:pPr>
    <w:r w:rsidRPr="00FE4417">
      <w:rPr>
        <w:rFonts w:ascii="Garamond" w:hAnsi="Garamond"/>
        <w:sz w:val="20"/>
        <w:szCs w:val="20"/>
      </w:rPr>
      <w:t xml:space="preserve">Strona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PAGE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477694">
      <w:rPr>
        <w:rFonts w:ascii="Garamond" w:hAnsi="Garamond"/>
        <w:b/>
        <w:bCs/>
        <w:noProof/>
        <w:sz w:val="20"/>
        <w:szCs w:val="20"/>
      </w:rPr>
      <w:t>1</w:t>
    </w:r>
    <w:r w:rsidRPr="00FE4417">
      <w:rPr>
        <w:rFonts w:ascii="Garamond" w:hAnsi="Garamond"/>
        <w:b/>
        <w:bCs/>
        <w:sz w:val="20"/>
        <w:szCs w:val="20"/>
      </w:rPr>
      <w:fldChar w:fldCharType="end"/>
    </w:r>
    <w:r w:rsidRPr="00FE4417">
      <w:rPr>
        <w:rFonts w:ascii="Garamond" w:hAnsi="Garamond"/>
        <w:sz w:val="20"/>
        <w:szCs w:val="20"/>
      </w:rPr>
      <w:t xml:space="preserve"> z </w:t>
    </w:r>
    <w:r w:rsidRPr="00FE4417">
      <w:rPr>
        <w:rFonts w:ascii="Garamond" w:hAnsi="Garamond"/>
        <w:b/>
        <w:bCs/>
        <w:sz w:val="20"/>
        <w:szCs w:val="20"/>
      </w:rPr>
      <w:fldChar w:fldCharType="begin"/>
    </w:r>
    <w:r w:rsidRPr="00FE4417">
      <w:rPr>
        <w:rFonts w:ascii="Garamond" w:hAnsi="Garamond"/>
        <w:b/>
        <w:bCs/>
        <w:sz w:val="20"/>
        <w:szCs w:val="20"/>
      </w:rPr>
      <w:instrText>NUMPAGES</w:instrText>
    </w:r>
    <w:r w:rsidRPr="00FE4417">
      <w:rPr>
        <w:rFonts w:ascii="Garamond" w:hAnsi="Garamond"/>
        <w:b/>
        <w:bCs/>
        <w:sz w:val="20"/>
        <w:szCs w:val="20"/>
      </w:rPr>
      <w:fldChar w:fldCharType="separate"/>
    </w:r>
    <w:r w:rsidR="00477694">
      <w:rPr>
        <w:rFonts w:ascii="Garamond" w:hAnsi="Garamond"/>
        <w:b/>
        <w:bCs/>
        <w:noProof/>
        <w:sz w:val="20"/>
        <w:szCs w:val="20"/>
      </w:rPr>
      <w:t>2</w:t>
    </w:r>
    <w:r w:rsidRPr="00FE4417">
      <w:rPr>
        <w:rFonts w:ascii="Garamond" w:hAnsi="Garamond"/>
        <w:b/>
        <w:bCs/>
        <w:sz w:val="20"/>
        <w:szCs w:val="20"/>
      </w:rPr>
      <w:fldChar w:fldCharType="end"/>
    </w:r>
  </w:p>
  <w:p w14:paraId="6D0972C2" w14:textId="77777777" w:rsidR="00A50F92" w:rsidRDefault="00A50F92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175FD" w14:textId="77777777" w:rsidR="00477694" w:rsidRDefault="004776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2F16" w14:textId="77777777" w:rsidR="00C72630" w:rsidRDefault="00C72630" w:rsidP="007E355E">
      <w:r>
        <w:separator/>
      </w:r>
    </w:p>
  </w:footnote>
  <w:footnote w:type="continuationSeparator" w:id="0">
    <w:p w14:paraId="57C5418A" w14:textId="77777777" w:rsidR="00C72630" w:rsidRDefault="00C72630" w:rsidP="007E3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BBACA" w14:textId="77777777" w:rsidR="00477694" w:rsidRDefault="004776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A8157" w14:textId="77777777" w:rsidR="007E355E" w:rsidRDefault="007E355E" w:rsidP="007E355E">
    <w:pPr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 xml:space="preserve">NSSU.DFP.271.47.2019.EP                                                                                                                                                     </w:t>
    </w:r>
  </w:p>
  <w:p w14:paraId="68E0C025" w14:textId="77777777" w:rsidR="007E355E" w:rsidRPr="00784206" w:rsidRDefault="007E355E" w:rsidP="007E355E">
    <w:pPr>
      <w:jc w:val="right"/>
      <w:rPr>
        <w:rFonts w:ascii="Garamond" w:hAnsi="Garamond"/>
        <w:sz w:val="22"/>
        <w:szCs w:val="22"/>
      </w:rPr>
    </w:pPr>
    <w:r w:rsidRPr="00784206">
      <w:rPr>
        <w:rFonts w:ascii="Garamond" w:hAnsi="Garamond"/>
        <w:bCs/>
        <w:sz w:val="22"/>
        <w:szCs w:val="22"/>
      </w:rPr>
      <w:t>Załącznik 1b do specyfikacji</w:t>
    </w:r>
  </w:p>
  <w:p w14:paraId="1138279B" w14:textId="77777777" w:rsidR="007E355E" w:rsidRPr="007E355E" w:rsidRDefault="007E355E" w:rsidP="007E355E">
    <w:pPr>
      <w:pStyle w:val="Nagwek"/>
      <w:jc w:val="center"/>
      <w:rPr>
        <w:b/>
      </w:rPr>
    </w:pPr>
    <w:r w:rsidRPr="007E355E">
      <w:rPr>
        <w:rFonts w:ascii="Garamond" w:hAnsi="Garamond"/>
        <w:b/>
        <w:bCs/>
        <w:sz w:val="22"/>
        <w:szCs w:val="22"/>
      </w:rPr>
      <w:t>Część  14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57B2F6" w14:textId="77777777" w:rsidR="00477694" w:rsidRDefault="0047769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0F2"/>
    <w:rsid w:val="001647D2"/>
    <w:rsid w:val="00200ABE"/>
    <w:rsid w:val="00236071"/>
    <w:rsid w:val="002669ED"/>
    <w:rsid w:val="002A0885"/>
    <w:rsid w:val="002A6A6E"/>
    <w:rsid w:val="002D3ECB"/>
    <w:rsid w:val="00302340"/>
    <w:rsid w:val="003317DA"/>
    <w:rsid w:val="00477694"/>
    <w:rsid w:val="005F50F2"/>
    <w:rsid w:val="006103DF"/>
    <w:rsid w:val="007A7402"/>
    <w:rsid w:val="007E355E"/>
    <w:rsid w:val="00831979"/>
    <w:rsid w:val="008443E6"/>
    <w:rsid w:val="00873BAE"/>
    <w:rsid w:val="008E601B"/>
    <w:rsid w:val="00A50F92"/>
    <w:rsid w:val="00B13504"/>
    <w:rsid w:val="00BA4C54"/>
    <w:rsid w:val="00BA7E13"/>
    <w:rsid w:val="00BD0329"/>
    <w:rsid w:val="00C074F9"/>
    <w:rsid w:val="00C72630"/>
    <w:rsid w:val="00DD69B3"/>
    <w:rsid w:val="00F1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63D4C"/>
  <w15:docId w15:val="{97301E13-D3F5-4DEF-956D-422AC73E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50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E355E"/>
    <w:pPr>
      <w:keepNext/>
      <w:outlineLvl w:val="2"/>
    </w:pPr>
    <w:rPr>
      <w:rFonts w:eastAsia="Times New Roman"/>
      <w:b/>
      <w:bCs/>
      <w:color w:val="FF000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unhideWhenUsed/>
    <w:rsid w:val="005F50F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50F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35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E355E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3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E355E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E355E"/>
    <w:rPr>
      <w:rFonts w:ascii="Times New Roman" w:eastAsia="Times New Roman" w:hAnsi="Times New Roman" w:cs="Times New Roman"/>
      <w:b/>
      <w:bCs/>
      <w:color w:val="FF0000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1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17D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17DA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1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17DA"/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17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17DA"/>
    <w:rPr>
      <w:rFonts w:ascii="Segoe UI" w:eastAsia="Calibr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6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bernadetta jakubowicz</dc:creator>
  <cp:lastModifiedBy>Edyta Prokopiuk</cp:lastModifiedBy>
  <cp:revision>7</cp:revision>
  <cp:lastPrinted>2019-05-08T11:09:00Z</cp:lastPrinted>
  <dcterms:created xsi:type="dcterms:W3CDTF">2019-06-17T16:16:00Z</dcterms:created>
  <dcterms:modified xsi:type="dcterms:W3CDTF">2019-07-19T08:15:00Z</dcterms:modified>
</cp:coreProperties>
</file>