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A44C5" w14:textId="77777777" w:rsidR="00523059" w:rsidRPr="00F8444A" w:rsidRDefault="00F8444A" w:rsidP="005A3AAD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="00700929" w:rsidRPr="00DA207F">
        <w:rPr>
          <w:rFonts w:ascii="Garamond" w:hAnsi="Garamond"/>
          <w:bCs/>
          <w:sz w:val="22"/>
        </w:rPr>
        <w:t xml:space="preserve"> </w:t>
      </w:r>
      <w:r w:rsidR="00DA207F" w:rsidRPr="00F8444A">
        <w:rPr>
          <w:rFonts w:ascii="Garamond" w:hAnsi="Garamond"/>
          <w:b/>
          <w:color w:val="002060"/>
          <w:sz w:val="22"/>
          <w:szCs w:val="22"/>
        </w:rPr>
        <w:t>testu immunoenzymatycznego in vitro do oznaczania przeciwciał klasy IgG anty–</w:t>
      </w:r>
      <w:r w:rsidR="00DA207F" w:rsidRPr="00F8444A">
        <w:rPr>
          <w:rFonts w:ascii="Garamond" w:hAnsi="Garamond"/>
          <w:b/>
          <w:i/>
          <w:color w:val="002060"/>
          <w:sz w:val="22"/>
          <w:szCs w:val="22"/>
        </w:rPr>
        <w:t>Entamoeba histolytica</w:t>
      </w:r>
      <w:r w:rsidR="00DA207F" w:rsidRPr="00F8444A">
        <w:rPr>
          <w:rFonts w:ascii="Garamond" w:hAnsi="Garamond"/>
          <w:b/>
          <w:color w:val="002060"/>
          <w:sz w:val="22"/>
          <w:szCs w:val="22"/>
        </w:rPr>
        <w:t xml:space="preserve"> (jakościowo/półilościowo) w ludzkiej surowicy oraz osoczu</w:t>
      </w:r>
    </w:p>
    <w:p w14:paraId="420CEFE1" w14:textId="77777777" w:rsidR="00F8444A" w:rsidRPr="00F8444A" w:rsidRDefault="00F8444A" w:rsidP="00F8444A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F8444A">
        <w:rPr>
          <w:rFonts w:ascii="Garamond" w:hAnsi="Garamond"/>
          <w:b/>
          <w:color w:val="002060"/>
          <w:sz w:val="22"/>
          <w:szCs w:val="22"/>
        </w:rPr>
        <w:t>Dotyczy: część 13 poz. 1</w:t>
      </w:r>
    </w:p>
    <w:p w14:paraId="055B6FC8" w14:textId="77777777" w:rsidR="007909CE" w:rsidRPr="00F8444A" w:rsidRDefault="007909CE" w:rsidP="00700929">
      <w:pPr>
        <w:jc w:val="center"/>
        <w:rPr>
          <w:rFonts w:ascii="Garamond" w:hAnsi="Garamond"/>
          <w:color w:val="002060"/>
          <w:sz w:val="22"/>
          <w:szCs w:val="22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6958"/>
        <w:gridCol w:w="2410"/>
      </w:tblGrid>
      <w:tr w:rsidR="00F8444A" w:rsidRPr="00DA207F" w14:paraId="2C754038" w14:textId="77777777" w:rsidTr="00F8444A">
        <w:trPr>
          <w:trHeight w:val="567"/>
        </w:trPr>
        <w:tc>
          <w:tcPr>
            <w:tcW w:w="767" w:type="dxa"/>
            <w:vAlign w:val="center"/>
          </w:tcPr>
          <w:p w14:paraId="1FDC1025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958" w:type="dxa"/>
            <w:vAlign w:val="center"/>
          </w:tcPr>
          <w:p w14:paraId="58640FAA" w14:textId="77777777" w:rsidR="00F8444A" w:rsidRPr="00C50CE9" w:rsidRDefault="00F8444A" w:rsidP="00F8444A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10" w:type="dxa"/>
            <w:vAlign w:val="center"/>
          </w:tcPr>
          <w:p w14:paraId="11B9DDC1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227CE54B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DA207F" w:rsidRPr="00DA207F" w14:paraId="01DCACEB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292D733F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958" w:type="dxa"/>
            <w:vAlign w:val="center"/>
          </w:tcPr>
          <w:p w14:paraId="4FAAF5A1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Przy każdej dostawie do testu dołączony będzie Certyfikat jakości (Certyficate of Analysis) dla danej serii testu. Wymagany Certyfikat CE oraz certyfikat IVD</w:t>
            </w:r>
          </w:p>
        </w:tc>
        <w:tc>
          <w:tcPr>
            <w:tcW w:w="2410" w:type="dxa"/>
            <w:vAlign w:val="center"/>
          </w:tcPr>
          <w:p w14:paraId="6C9DEEBD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1E36262E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9E26859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958" w:type="dxa"/>
            <w:vAlign w:val="center"/>
          </w:tcPr>
          <w:p w14:paraId="4DC9E1EB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Test wykorzystujący technikę EIA w celu oznaczenia jakościowego obecności przeciwciał klasy IgG przeciw Entamoeba histolytica w surowicy oraz osoczu cytrynianowym </w:t>
            </w:r>
          </w:p>
        </w:tc>
        <w:tc>
          <w:tcPr>
            <w:tcW w:w="2410" w:type="dxa"/>
            <w:vAlign w:val="center"/>
          </w:tcPr>
          <w:p w14:paraId="54ECDF0F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6B40FD29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1E63837C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958" w:type="dxa"/>
            <w:vAlign w:val="center"/>
          </w:tcPr>
          <w:p w14:paraId="6AB7FE8A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Zestaw zawierający wszystkie niezbędne odczynniki gotowe do użycia </w:t>
            </w:r>
          </w:p>
          <w:p w14:paraId="2FACF3D0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z wyjątkiem buforu płuczącego</w:t>
            </w:r>
          </w:p>
        </w:tc>
        <w:tc>
          <w:tcPr>
            <w:tcW w:w="2410" w:type="dxa"/>
            <w:vAlign w:val="center"/>
          </w:tcPr>
          <w:p w14:paraId="191239D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639FED74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373CFFDD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958" w:type="dxa"/>
            <w:vAlign w:val="center"/>
          </w:tcPr>
          <w:p w14:paraId="3A307F67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Zestaw zawierający kontrolę dodatnią, ujemną oraz kontrolę kalibracyjną odcinającą (Cut-off)</w:t>
            </w:r>
          </w:p>
        </w:tc>
        <w:tc>
          <w:tcPr>
            <w:tcW w:w="2410" w:type="dxa"/>
            <w:vAlign w:val="center"/>
          </w:tcPr>
          <w:p w14:paraId="71945C25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59C4B0DA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9655848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958" w:type="dxa"/>
            <w:vAlign w:val="center"/>
          </w:tcPr>
          <w:p w14:paraId="0FF86D2B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Wyliczenie wyniku półilościowego w oparciu o jedną kontrolę odcinającą </w:t>
            </w:r>
          </w:p>
          <w:p w14:paraId="4880C823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(Cut-off)</w:t>
            </w:r>
          </w:p>
        </w:tc>
        <w:tc>
          <w:tcPr>
            <w:tcW w:w="2410" w:type="dxa"/>
            <w:vAlign w:val="center"/>
          </w:tcPr>
          <w:p w14:paraId="0F8AC56D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5EDE003A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69C17542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958" w:type="dxa"/>
            <w:vAlign w:val="center"/>
          </w:tcPr>
          <w:p w14:paraId="3DBC4B8E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Płytka z 96-ma rozłamywanymi dołkami, pokrytymi antygenami </w:t>
            </w:r>
          </w:p>
          <w:p w14:paraId="7BAB539C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i/>
                <w:sz w:val="22"/>
                <w:szCs w:val="22"/>
                <w:lang w:eastAsia="en-US"/>
              </w:rPr>
              <w:t>Entamoeba histolytica</w:t>
            </w:r>
          </w:p>
        </w:tc>
        <w:tc>
          <w:tcPr>
            <w:tcW w:w="2410" w:type="dxa"/>
            <w:vAlign w:val="center"/>
          </w:tcPr>
          <w:p w14:paraId="76B37D6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4599D00D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5BB9301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958" w:type="dxa"/>
            <w:vAlign w:val="center"/>
          </w:tcPr>
          <w:p w14:paraId="0803505A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Czułość diagnostyczna ≥ 95%, swoistość diagnostyczna ≥  95%</w:t>
            </w:r>
          </w:p>
        </w:tc>
        <w:tc>
          <w:tcPr>
            <w:tcW w:w="2410" w:type="dxa"/>
            <w:vAlign w:val="center"/>
          </w:tcPr>
          <w:p w14:paraId="022E4F03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60BE69A5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38CF51C6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958" w:type="dxa"/>
            <w:vAlign w:val="center"/>
          </w:tcPr>
          <w:p w14:paraId="0480FB9D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Brak interferencji z surowicami lipemicznymi do stężenia trójglicerydów 5 mg/ml oraz brak interferencji z surowicami hiperchromatyc</w:t>
            </w:r>
            <w:r w:rsidR="00F73200">
              <w:rPr>
                <w:rFonts w:ascii="Garamond" w:eastAsia="Calibri" w:hAnsi="Garamond"/>
                <w:sz w:val="22"/>
                <w:szCs w:val="22"/>
                <w:lang w:eastAsia="en-US"/>
              </w:rPr>
              <w:t>znymi do stężenia bilirubiny 0,5</w:t>
            </w: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mg/ml</w:t>
            </w:r>
          </w:p>
        </w:tc>
        <w:tc>
          <w:tcPr>
            <w:tcW w:w="2410" w:type="dxa"/>
            <w:vAlign w:val="center"/>
          </w:tcPr>
          <w:p w14:paraId="634171FA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39945FB6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3E7D961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958" w:type="dxa"/>
            <w:vAlign w:val="center"/>
          </w:tcPr>
          <w:p w14:paraId="708B0A1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Detekcja oparta na reakcji barwnej – odczyt gęstości optycznej (OD) / absorbancji na czytniku spektrofotometrycznym do mikropłytek ELISA przy długości fali 450 nm oraz fali odniesienia 620 nm</w:t>
            </w:r>
          </w:p>
        </w:tc>
        <w:tc>
          <w:tcPr>
            <w:tcW w:w="2410" w:type="dxa"/>
            <w:vAlign w:val="center"/>
          </w:tcPr>
          <w:p w14:paraId="210E3859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259AE35D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C28977F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958" w:type="dxa"/>
            <w:vAlign w:val="center"/>
          </w:tcPr>
          <w:p w14:paraId="0C489677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Reakcja (inkubacja płytki) przeprowadzana w temperaturze +37</w:t>
            </w:r>
            <w:r w:rsidRPr="00DA207F">
              <w:rPr>
                <w:rFonts w:ascii="Garamond" w:eastAsia="Calibri" w:hAnsi="Garamond"/>
                <w:sz w:val="22"/>
                <w:szCs w:val="22"/>
                <w:vertAlign w:val="superscript"/>
                <w:lang w:eastAsia="en-US"/>
              </w:rPr>
              <w:t>o</w:t>
            </w: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C oraz w temperaturze pokojowej</w:t>
            </w:r>
          </w:p>
        </w:tc>
        <w:tc>
          <w:tcPr>
            <w:tcW w:w="2410" w:type="dxa"/>
            <w:vAlign w:val="center"/>
          </w:tcPr>
          <w:p w14:paraId="57C116F7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3EB0CD45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42113443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958" w:type="dxa"/>
            <w:vAlign w:val="center"/>
          </w:tcPr>
          <w:p w14:paraId="290EC123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Dwa płukania</w:t>
            </w:r>
          </w:p>
        </w:tc>
        <w:tc>
          <w:tcPr>
            <w:tcW w:w="2410" w:type="dxa"/>
            <w:vAlign w:val="center"/>
          </w:tcPr>
          <w:p w14:paraId="36142A8A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27316638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1FBFA171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958" w:type="dxa"/>
            <w:vAlign w:val="center"/>
          </w:tcPr>
          <w:p w14:paraId="15A1299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Odczyt OD/absorbancji na czytniku mikropłytek ELISA do 30 minut od dodania roztworu stopującego</w:t>
            </w:r>
          </w:p>
        </w:tc>
        <w:tc>
          <w:tcPr>
            <w:tcW w:w="2410" w:type="dxa"/>
            <w:vAlign w:val="center"/>
          </w:tcPr>
          <w:p w14:paraId="62C47E6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142C6121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2D2B4C69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958" w:type="dxa"/>
            <w:vAlign w:val="center"/>
          </w:tcPr>
          <w:p w14:paraId="711F185B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Folia samoprzylepna do zaklejania dołków (celek) na czas inkubacji mikropłytki w zestawie</w:t>
            </w:r>
          </w:p>
        </w:tc>
        <w:tc>
          <w:tcPr>
            <w:tcW w:w="2410" w:type="dxa"/>
            <w:vAlign w:val="center"/>
          </w:tcPr>
          <w:p w14:paraId="50F64E73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6AAEF507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596F02E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958" w:type="dxa"/>
            <w:vAlign w:val="center"/>
          </w:tcPr>
          <w:p w14:paraId="0A88C93D" w14:textId="77777777" w:rsidR="00DA207F" w:rsidRPr="00DA207F" w:rsidRDefault="002A6849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Data ważności testu minimum 12</w:t>
            </w:r>
            <w:r w:rsidR="00DA207F"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miesięcy od daty dostawy</w:t>
            </w:r>
          </w:p>
        </w:tc>
        <w:tc>
          <w:tcPr>
            <w:tcW w:w="2410" w:type="dxa"/>
            <w:vAlign w:val="center"/>
          </w:tcPr>
          <w:p w14:paraId="3C9CE94D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DA207F" w:rsidRPr="00DA207F" w14:paraId="51E81718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54FB0760" w14:textId="77777777" w:rsidR="00DA207F" w:rsidRPr="00DA207F" w:rsidRDefault="00DA207F" w:rsidP="00DA207F">
            <w:pPr>
              <w:spacing w:line="276" w:lineRule="auto"/>
              <w:contextualSpacing/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DA207F">
              <w:rPr>
                <w:rFonts w:ascii="Garamond" w:eastAsia="Calibri" w:hAnsi="Garamond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958" w:type="dxa"/>
            <w:vAlign w:val="center"/>
          </w:tcPr>
          <w:p w14:paraId="3D56D50D" w14:textId="77777777" w:rsidR="00DA207F" w:rsidRPr="00DA207F" w:rsidRDefault="00DA207F" w:rsidP="00DA207F">
            <w:pPr>
              <w:jc w:val="both"/>
              <w:rPr>
                <w:rFonts w:ascii="Garamond" w:eastAsia="Calibri" w:hAnsi="Garamond"/>
                <w:sz w:val="22"/>
                <w:szCs w:val="22"/>
              </w:rPr>
            </w:pPr>
            <w:r w:rsidRPr="00DA207F">
              <w:rPr>
                <w:rFonts w:ascii="Garamond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</w:p>
        </w:tc>
        <w:tc>
          <w:tcPr>
            <w:tcW w:w="2410" w:type="dxa"/>
            <w:vAlign w:val="center"/>
          </w:tcPr>
          <w:p w14:paraId="47383222" w14:textId="77777777" w:rsidR="00DA207F" w:rsidRPr="00DA207F" w:rsidRDefault="00DA207F" w:rsidP="00DA207F">
            <w:pPr>
              <w:spacing w:line="276" w:lineRule="auto"/>
              <w:contextualSpacing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  <w:tr w:rsidR="002A6849" w:rsidRPr="00DA207F" w14:paraId="5611D49C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4FCADE44" w14:textId="77777777" w:rsidR="002A6849" w:rsidRPr="00C15B0A" w:rsidRDefault="002A6849" w:rsidP="004D248F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 w:rsidRPr="00C15B0A">
              <w:rPr>
                <w:rFonts w:ascii="Garamond" w:hAnsi="Garamond"/>
                <w:sz w:val="22"/>
                <w:szCs w:val="24"/>
              </w:rPr>
              <w:t>16</w:t>
            </w:r>
          </w:p>
        </w:tc>
        <w:tc>
          <w:tcPr>
            <w:tcW w:w="6958" w:type="dxa"/>
            <w:vAlign w:val="center"/>
          </w:tcPr>
          <w:p w14:paraId="34BDBBC8" w14:textId="127F3E27" w:rsidR="002A6849" w:rsidRPr="00C15B0A" w:rsidRDefault="007735EE" w:rsidP="007735EE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 każdej dostawie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="002A6849" w:rsidRPr="00C15B0A">
              <w:rPr>
                <w:rFonts w:ascii="Garamond" w:hAnsi="Garamond"/>
                <w:sz w:val="22"/>
                <w:szCs w:val="22"/>
              </w:rPr>
              <w:t>nstrukcja wykonania testu w języku polskim</w:t>
            </w:r>
            <w:r>
              <w:rPr>
                <w:rFonts w:ascii="Garamond" w:hAnsi="Garamond"/>
                <w:sz w:val="22"/>
                <w:szCs w:val="22"/>
              </w:rPr>
              <w:t xml:space="preserve"> oraz w oryginale.</w:t>
            </w:r>
          </w:p>
        </w:tc>
        <w:tc>
          <w:tcPr>
            <w:tcW w:w="2410" w:type="dxa"/>
            <w:vAlign w:val="center"/>
          </w:tcPr>
          <w:p w14:paraId="6DD9C2C4" w14:textId="77777777" w:rsidR="002A6849" w:rsidRPr="00C15B0A" w:rsidRDefault="002A6849" w:rsidP="004D248F">
            <w:pPr>
              <w:jc w:val="center"/>
              <w:rPr>
                <w:color w:val="FF0000"/>
                <w:szCs w:val="24"/>
              </w:rPr>
            </w:pPr>
          </w:p>
        </w:tc>
      </w:tr>
      <w:tr w:rsidR="0051751F" w:rsidRPr="00DA207F" w14:paraId="0F761D32" w14:textId="77777777" w:rsidTr="00F8444A">
        <w:trPr>
          <w:trHeight w:val="397"/>
        </w:trPr>
        <w:tc>
          <w:tcPr>
            <w:tcW w:w="767" w:type="dxa"/>
            <w:vAlign w:val="center"/>
          </w:tcPr>
          <w:p w14:paraId="051644CF" w14:textId="77777777" w:rsidR="0051751F" w:rsidRPr="00C15B0A" w:rsidRDefault="0051751F" w:rsidP="004D248F">
            <w:pPr>
              <w:jc w:val="center"/>
              <w:rPr>
                <w:rFonts w:ascii="Garamond" w:hAnsi="Garamond"/>
                <w:sz w:val="22"/>
                <w:szCs w:val="24"/>
              </w:rPr>
            </w:pPr>
            <w:r>
              <w:rPr>
                <w:rFonts w:ascii="Garamond" w:hAnsi="Garamond"/>
                <w:sz w:val="22"/>
                <w:szCs w:val="24"/>
              </w:rPr>
              <w:t>17</w:t>
            </w:r>
          </w:p>
        </w:tc>
        <w:tc>
          <w:tcPr>
            <w:tcW w:w="6958" w:type="dxa"/>
            <w:vAlign w:val="center"/>
          </w:tcPr>
          <w:p w14:paraId="425A6E66" w14:textId="77777777" w:rsidR="0051751F" w:rsidRPr="00C15B0A" w:rsidRDefault="0051751F" w:rsidP="004D248F">
            <w:pPr>
              <w:rPr>
                <w:rFonts w:ascii="Garamond" w:hAnsi="Garamond"/>
                <w:sz w:val="22"/>
                <w:szCs w:val="22"/>
              </w:rPr>
            </w:pPr>
            <w:r w:rsidRPr="00E03B55">
              <w:rPr>
                <w:rFonts w:ascii="Garamond" w:hAnsi="Garamond"/>
                <w:sz w:val="22"/>
                <w:szCs w:val="22"/>
              </w:rPr>
              <w:t>Karta MSDS testu w języku polskim dołączona do każdego opakowania testu lub możliwość pobrania w/w karty ze strony internetowej. Aktualizacja karty MSDS testu (2012 rok) zgodnie z obowiązującymi przepisami legislacyjnymi oraz wymaganiami BHP.</w:t>
            </w:r>
          </w:p>
        </w:tc>
        <w:tc>
          <w:tcPr>
            <w:tcW w:w="2410" w:type="dxa"/>
            <w:vAlign w:val="center"/>
          </w:tcPr>
          <w:p w14:paraId="224A178C" w14:textId="77777777" w:rsidR="0051751F" w:rsidRPr="00C15B0A" w:rsidRDefault="0051751F" w:rsidP="004D248F">
            <w:pPr>
              <w:jc w:val="center"/>
              <w:rPr>
                <w:color w:val="FF0000"/>
                <w:szCs w:val="24"/>
              </w:rPr>
            </w:pPr>
          </w:p>
        </w:tc>
      </w:tr>
    </w:tbl>
    <w:p w14:paraId="414AB7A5" w14:textId="77777777" w:rsidR="00F8444A" w:rsidRDefault="00F8444A" w:rsidP="00F8444A">
      <w:pPr>
        <w:rPr>
          <w:rFonts w:ascii="Garamond" w:hAnsi="Garamond"/>
          <w:b/>
          <w:sz w:val="22"/>
          <w:szCs w:val="22"/>
        </w:rPr>
      </w:pPr>
    </w:p>
    <w:p w14:paraId="6A73FC6C" w14:textId="77777777" w:rsidR="00F8444A" w:rsidRPr="007145B4" w:rsidRDefault="00F8444A" w:rsidP="00F8444A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  <w:bookmarkStart w:id="0" w:name="_GoBack"/>
      <w:bookmarkEnd w:id="0"/>
    </w:p>
    <w:p w14:paraId="7EA7A002" w14:textId="77777777" w:rsidR="00F8444A" w:rsidRPr="007145B4" w:rsidRDefault="00F8444A" w:rsidP="00F8444A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FB278B0" w14:textId="77777777" w:rsidR="00523059" w:rsidRDefault="00523059" w:rsidP="007909CE">
      <w:pPr>
        <w:keepNext/>
        <w:outlineLvl w:val="3"/>
        <w:rPr>
          <w:rFonts w:ascii="Garamond" w:hAnsi="Garamond"/>
          <w:bCs/>
          <w:sz w:val="18"/>
          <w:szCs w:val="18"/>
        </w:rPr>
      </w:pPr>
    </w:p>
    <w:p w14:paraId="7CCD03D3" w14:textId="77777777" w:rsidR="00F8444A" w:rsidRPr="00F8444A" w:rsidRDefault="00F8444A" w:rsidP="00F8444A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DA207F">
        <w:rPr>
          <w:rFonts w:ascii="Garamond" w:hAnsi="Garamond"/>
          <w:bCs/>
          <w:sz w:val="22"/>
        </w:rPr>
        <w:t xml:space="preserve"> </w:t>
      </w:r>
      <w:r w:rsidRPr="00F8444A">
        <w:rPr>
          <w:rFonts w:ascii="Garamond" w:hAnsi="Garamond"/>
          <w:b/>
          <w:color w:val="002060"/>
          <w:sz w:val="22"/>
          <w:szCs w:val="22"/>
        </w:rPr>
        <w:t>testu immunoenzymatycznego in vitro do oznaczania przeciwciał klasy IgG anty</w:t>
      </w:r>
      <w:r w:rsidRPr="00F8444A">
        <w:rPr>
          <w:rFonts w:ascii="Garamond" w:hAnsi="Garamond"/>
          <w:b/>
          <w:i/>
          <w:color w:val="002060"/>
          <w:sz w:val="22"/>
          <w:szCs w:val="22"/>
        </w:rPr>
        <w:t>– Ascaris lumbricoides</w:t>
      </w:r>
      <w:r>
        <w:rPr>
          <w:rFonts w:ascii="Garamond" w:hAnsi="Garamond"/>
          <w:bCs/>
          <w:i/>
          <w:iCs/>
          <w:sz w:val="22"/>
        </w:rPr>
        <w:t xml:space="preserve"> </w:t>
      </w:r>
      <w:r w:rsidRPr="00F8444A">
        <w:rPr>
          <w:rFonts w:ascii="Garamond" w:hAnsi="Garamond"/>
          <w:b/>
          <w:color w:val="002060"/>
          <w:sz w:val="22"/>
          <w:szCs w:val="22"/>
        </w:rPr>
        <w:t>(jakościowo/półilościowo) w ludzkiej surowicy oraz osoczu</w:t>
      </w:r>
    </w:p>
    <w:p w14:paraId="6018BAA6" w14:textId="77777777" w:rsidR="00F8444A" w:rsidRPr="00F8444A" w:rsidRDefault="00F8444A" w:rsidP="00F8444A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F8444A">
        <w:rPr>
          <w:rFonts w:ascii="Garamond" w:hAnsi="Garamond"/>
          <w:b/>
          <w:color w:val="002060"/>
          <w:sz w:val="22"/>
          <w:szCs w:val="22"/>
        </w:rPr>
        <w:t xml:space="preserve">Dotyczy: część 13 </w:t>
      </w:r>
      <w:r>
        <w:rPr>
          <w:rFonts w:ascii="Garamond" w:hAnsi="Garamond"/>
          <w:b/>
          <w:color w:val="002060"/>
          <w:sz w:val="22"/>
          <w:szCs w:val="22"/>
        </w:rPr>
        <w:t>poz. 2</w:t>
      </w:r>
    </w:p>
    <w:p w14:paraId="2FBD5C08" w14:textId="77777777" w:rsidR="00AB45B4" w:rsidRDefault="00AB45B4" w:rsidP="00AB45B4">
      <w:pPr>
        <w:jc w:val="center"/>
        <w:rPr>
          <w:rFonts w:ascii="Garamond" w:hAnsi="Garamond"/>
          <w:i/>
          <w:iCs/>
          <w:sz w:val="22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6944"/>
        <w:gridCol w:w="2412"/>
      </w:tblGrid>
      <w:tr w:rsidR="00F8444A" w14:paraId="2E5C076D" w14:textId="77777777" w:rsidTr="00F8444A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5DB3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57BE" w14:textId="77777777" w:rsidR="00F8444A" w:rsidRPr="00C50CE9" w:rsidRDefault="00F8444A" w:rsidP="00F8444A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0B4F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4FD4B622" w14:textId="77777777" w:rsidR="00F8444A" w:rsidRPr="00C50CE9" w:rsidRDefault="00F8444A" w:rsidP="00F8444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AB45B4" w14:paraId="331ECF88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A89B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20B23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>Przy każdej dostawie do testu dołączony będzie Certyfikat jakości (Certyficate of Analysis) dla danej serii testu. Wymagany Certyfikat CE oraz certyfikat IVD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2CD5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312E44E5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C5A51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19AF6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 xml:space="preserve">Test wykorzystujący technikę EIA w celu oznaczenia jakościowego obecności przeciwciał klasy IgG przeciw </w:t>
            </w:r>
            <w:r>
              <w:rPr>
                <w:rFonts w:ascii="Garamond" w:hAnsi="Garamond"/>
                <w:i/>
                <w:iCs/>
                <w:sz w:val="22"/>
                <w:szCs w:val="24"/>
                <w:lang w:eastAsia="en-US"/>
              </w:rPr>
              <w:t xml:space="preserve">Ascaris lumbricoides </w:t>
            </w:r>
            <w:r>
              <w:rPr>
                <w:rFonts w:ascii="Garamond" w:hAnsi="Garamond"/>
                <w:sz w:val="22"/>
                <w:szCs w:val="24"/>
                <w:lang w:eastAsia="en-US"/>
              </w:rPr>
              <w:t>w surowicy oraz osoczu cytrynianowym Pacjenta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2986C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57445BB1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E0FA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4C436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 xml:space="preserve">Zestaw zawierający wszystkie niezbędne odczynniki gotowe do użycia </w:t>
            </w:r>
          </w:p>
          <w:p w14:paraId="1DC85351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z wyjątkiem buforu płuczącego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FC1B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6A98621A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84DE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243F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Zestaw zawierający kontrolę dodatnią, ujemną oraz kontrolę kalibracyjną odcinającą (Cut-off)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586F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4A5D4B0F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8018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1433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Wyliczenie wyniku półilościowego w oparciu o jedną kontrolę odcinającą (Cut-off)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ECF8E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2314ED90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B6F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9B1F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 xml:space="preserve">Płytka z 96-ma rozłamywanymi dołkami, pokrytymi antygenami </w:t>
            </w:r>
            <w:r>
              <w:rPr>
                <w:rFonts w:ascii="Garamond" w:hAnsi="Garamond"/>
                <w:sz w:val="22"/>
                <w:szCs w:val="24"/>
                <w:lang w:eastAsia="en-US"/>
              </w:rPr>
              <w:br/>
            </w:r>
            <w:r>
              <w:rPr>
                <w:rFonts w:ascii="Garamond" w:hAnsi="Garamond"/>
                <w:i/>
                <w:sz w:val="22"/>
                <w:szCs w:val="24"/>
                <w:lang w:eastAsia="en-US"/>
              </w:rPr>
              <w:t>Ascaris lumbricoides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E062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1981A040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A7E9B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0395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Czułość diagnostyczna ≥ 95%</w:t>
            </w:r>
            <w:r>
              <w:rPr>
                <w:rFonts w:ascii="Garamond" w:hAnsi="Garamond"/>
                <w:sz w:val="22"/>
                <w:szCs w:val="24"/>
                <w:lang w:eastAsia="en-US"/>
              </w:rPr>
              <w:br/>
              <w:t>Swoistość diagnostyczna ≥  95%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4DF6" w14:textId="77777777" w:rsidR="00AB45B4" w:rsidRDefault="00AB45B4" w:rsidP="00977577">
            <w:pPr>
              <w:spacing w:line="276" w:lineRule="auto"/>
              <w:jc w:val="center"/>
              <w:rPr>
                <w:szCs w:val="24"/>
                <w:lang w:eastAsia="en-US"/>
              </w:rPr>
            </w:pPr>
          </w:p>
        </w:tc>
      </w:tr>
      <w:tr w:rsidR="00AB45B4" w14:paraId="33C35700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6E7A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8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3ECC6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 xml:space="preserve">Brak interferencji z surowicami lipemicznymi do stężenia trójglicerydów </w:t>
            </w:r>
          </w:p>
          <w:p w14:paraId="208F5973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5 mg/ml oraz brak interferencji z surowicami hiperchromatycznymi do stężenia bilirubiny 0,5 mg/ml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74B5F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51D5D144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6C85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</w:p>
          <w:p w14:paraId="1A691C23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9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91AD1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Detekcja oparta na reakcji barwnej – odczyt gęstości optycznej (OD) / absorbancji na czytniku spektrofotometrycznym do mikropłytek ELISA przy długości fali 450 nm oraz fali odniesienia 620 nm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B54B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3C6E0415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A0170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D018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Reakcja (inkubacja płytki) przeprowadzana w temperaturze +37</w:t>
            </w:r>
            <w:r>
              <w:rPr>
                <w:rFonts w:ascii="Garamond" w:hAnsi="Garamond"/>
                <w:sz w:val="22"/>
                <w:szCs w:val="24"/>
                <w:vertAlign w:val="superscript"/>
                <w:lang w:eastAsia="en-US"/>
              </w:rPr>
              <w:t>o</w:t>
            </w:r>
            <w:r>
              <w:rPr>
                <w:rFonts w:ascii="Garamond" w:hAnsi="Garamond"/>
                <w:sz w:val="22"/>
                <w:szCs w:val="24"/>
                <w:lang w:eastAsia="en-US"/>
              </w:rPr>
              <w:t xml:space="preserve">C oraz </w:t>
            </w:r>
            <w:r>
              <w:rPr>
                <w:rFonts w:ascii="Garamond" w:hAnsi="Garamond"/>
                <w:sz w:val="22"/>
                <w:szCs w:val="24"/>
                <w:lang w:eastAsia="en-US"/>
              </w:rPr>
              <w:br/>
              <w:t>w temperaturze pokojowej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2193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747A8ABB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F60E2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4B456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Dwa płukania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3935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6FAABAC8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181B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12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7423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Odczyt OD/absorbancji na czytniku mikropłytek ELISA do 30 minut od dodania roztworu stopującego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429F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21BA4BAC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6F84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13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BAF2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Folia samoprzylepna do zaklejania dołków (celek) na czas inkubacji mikropłytki w zestawie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C541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66ADD008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BF1C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14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13C70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Data ważności testu minimum 12 miesięcy od daty dostawy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4F0F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AB45B4" w14:paraId="4B13ED90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BE17" w14:textId="77777777" w:rsidR="00AB45B4" w:rsidRDefault="00AB45B4" w:rsidP="0097757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15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34383" w14:textId="77777777" w:rsidR="00AB45B4" w:rsidRDefault="00AB45B4" w:rsidP="00977577">
            <w:pPr>
              <w:spacing w:line="276" w:lineRule="auto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2"/>
                <w:lang w:eastAsia="en-US"/>
              </w:rPr>
              <w:t>Producent lub podmiot odpowiedzialny zapewnia pomoc merytoryczną i techniczną na każdym etapie wykonania procedury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1B330" w14:textId="77777777" w:rsidR="00AB45B4" w:rsidRDefault="00AB45B4" w:rsidP="0097757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850D17" w14:paraId="157A4144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640EA" w14:textId="671B8D03" w:rsidR="00850D17" w:rsidRDefault="00850D17" w:rsidP="00850D1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16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D79" w14:textId="535C10A6" w:rsidR="00850D17" w:rsidRDefault="007735EE" w:rsidP="00850D17">
            <w:pPr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Przy każdej dostawie </w:t>
            </w:r>
            <w:r>
              <w:rPr>
                <w:rFonts w:ascii="Garamond" w:hAnsi="Garamond"/>
                <w:sz w:val="22"/>
                <w:szCs w:val="22"/>
              </w:rPr>
              <w:t>i</w:t>
            </w:r>
            <w:r w:rsidRPr="00C15B0A">
              <w:rPr>
                <w:rFonts w:ascii="Garamond" w:hAnsi="Garamond"/>
                <w:sz w:val="22"/>
                <w:szCs w:val="22"/>
              </w:rPr>
              <w:t>nstrukcja wykonania testu w języku polskim</w:t>
            </w:r>
            <w:r>
              <w:rPr>
                <w:rFonts w:ascii="Garamond" w:hAnsi="Garamond"/>
                <w:sz w:val="22"/>
                <w:szCs w:val="22"/>
              </w:rPr>
              <w:t xml:space="preserve"> oraz w oryginale.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CB33" w14:textId="77777777" w:rsidR="00850D17" w:rsidRDefault="00850D17" w:rsidP="00850D1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  <w:tr w:rsidR="00850D17" w14:paraId="5B3CF9A0" w14:textId="77777777" w:rsidTr="00F8444A">
        <w:trPr>
          <w:trHeight w:val="307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8A19" w14:textId="0ACBD677" w:rsidR="00850D17" w:rsidRDefault="00850D17" w:rsidP="00850D17">
            <w:pPr>
              <w:spacing w:line="276" w:lineRule="auto"/>
              <w:jc w:val="center"/>
              <w:rPr>
                <w:rFonts w:ascii="Garamond" w:hAnsi="Garamond"/>
                <w:sz w:val="22"/>
                <w:szCs w:val="24"/>
                <w:lang w:eastAsia="en-US"/>
              </w:rPr>
            </w:pPr>
            <w:r>
              <w:rPr>
                <w:rFonts w:ascii="Garamond" w:hAnsi="Garamond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3FD" w14:textId="0D75F97D" w:rsidR="00850D17" w:rsidRDefault="00850D17" w:rsidP="00850D17">
            <w:pPr>
              <w:spacing w:line="276" w:lineRule="auto"/>
              <w:rPr>
                <w:rFonts w:ascii="Garamond" w:hAnsi="Garamond"/>
                <w:sz w:val="22"/>
                <w:szCs w:val="22"/>
                <w:lang w:eastAsia="en-US"/>
              </w:rPr>
            </w:pPr>
            <w:r w:rsidRPr="00E03B55">
              <w:rPr>
                <w:rFonts w:ascii="Garamond" w:hAnsi="Garamond"/>
                <w:sz w:val="22"/>
                <w:szCs w:val="22"/>
              </w:rPr>
              <w:t>Karta MSDS testu w języku polskim dołączona do każdego opakowania testu lub możliwość pobrania w/w karty ze strony internetowej. Aktualizacja karty MSDS testu (2012 rok) zgodnie z obowiązującymi przepisami legislacyjnymi oraz wymaganiami BHP.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28FA" w14:textId="77777777" w:rsidR="00850D17" w:rsidRDefault="00850D17" w:rsidP="00850D17">
            <w:pPr>
              <w:spacing w:line="276" w:lineRule="auto"/>
              <w:jc w:val="center"/>
              <w:rPr>
                <w:color w:val="FF0000"/>
                <w:szCs w:val="24"/>
                <w:lang w:eastAsia="en-US"/>
              </w:rPr>
            </w:pPr>
          </w:p>
        </w:tc>
      </w:tr>
    </w:tbl>
    <w:p w14:paraId="5AA37248" w14:textId="77777777" w:rsidR="00AB45B4" w:rsidRDefault="00AB45B4" w:rsidP="00AB45B4">
      <w:pPr>
        <w:keepNext/>
        <w:outlineLvl w:val="3"/>
        <w:rPr>
          <w:rFonts w:ascii="Garamond" w:hAnsi="Garamond"/>
          <w:bCs/>
          <w:sz w:val="18"/>
          <w:szCs w:val="18"/>
        </w:rPr>
      </w:pPr>
    </w:p>
    <w:p w14:paraId="4B642227" w14:textId="77777777" w:rsidR="00F8444A" w:rsidRPr="007145B4" w:rsidRDefault="00F8444A" w:rsidP="00F8444A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5B7EFE85" w14:textId="77777777" w:rsidR="00F8444A" w:rsidRPr="007145B4" w:rsidRDefault="00F8444A" w:rsidP="00F8444A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lastRenderedPageBreak/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sectPr w:rsidR="00F8444A" w:rsidRPr="007145B4" w:rsidSect="00261C19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930D3" w14:textId="77777777" w:rsidR="0043541E" w:rsidRDefault="0043541E" w:rsidP="00523059">
      <w:r>
        <w:separator/>
      </w:r>
    </w:p>
  </w:endnote>
  <w:endnote w:type="continuationSeparator" w:id="0">
    <w:p w14:paraId="4CC40C34" w14:textId="77777777" w:rsidR="0043541E" w:rsidRDefault="0043541E" w:rsidP="0052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886B3" w14:textId="4B14627C" w:rsidR="00261C19" w:rsidRDefault="00261C19" w:rsidP="00261C19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695CA8">
      <w:rPr>
        <w:rFonts w:ascii="Garamond" w:hAnsi="Garamond"/>
        <w:b/>
        <w:bCs/>
        <w:noProof/>
        <w:sz w:val="20"/>
        <w:szCs w:val="20"/>
      </w:rPr>
      <w:t>3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695CA8">
      <w:rPr>
        <w:rFonts w:ascii="Garamond" w:hAnsi="Garamond"/>
        <w:b/>
        <w:bCs/>
        <w:noProof/>
        <w:sz w:val="20"/>
        <w:szCs w:val="20"/>
      </w:rPr>
      <w:t>3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  <w:p w14:paraId="7EDEC1F9" w14:textId="77777777" w:rsidR="00261C19" w:rsidRDefault="00261C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56055" w14:textId="77777777" w:rsidR="0043541E" w:rsidRDefault="0043541E" w:rsidP="00523059">
      <w:r>
        <w:separator/>
      </w:r>
    </w:p>
  </w:footnote>
  <w:footnote w:type="continuationSeparator" w:id="0">
    <w:p w14:paraId="58F0EA67" w14:textId="77777777" w:rsidR="0043541E" w:rsidRDefault="0043541E" w:rsidP="005230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9554F" w14:textId="77777777" w:rsidR="00F8444A" w:rsidRDefault="00F8444A" w:rsidP="00F8444A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09BAA1A7" w14:textId="77777777" w:rsidR="00F8444A" w:rsidRPr="00784206" w:rsidRDefault="00F8444A" w:rsidP="00F8444A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57D83100" w14:textId="77777777" w:rsidR="00F8444A" w:rsidRDefault="00F8444A" w:rsidP="00F8444A">
    <w:pPr>
      <w:pStyle w:val="Tekstpodstawowywcity"/>
      <w:ind w:firstLine="0"/>
      <w:jc w:val="center"/>
      <w:rPr>
        <w:rFonts w:ascii="Garamond" w:hAnsi="Garamond"/>
        <w:bCs w:val="0"/>
        <w:sz w:val="22"/>
        <w:szCs w:val="22"/>
      </w:rPr>
    </w:pPr>
  </w:p>
  <w:p w14:paraId="1BDCA2B8" w14:textId="77777777" w:rsidR="00523059" w:rsidRPr="00F8444A" w:rsidRDefault="00F8444A" w:rsidP="00F8444A">
    <w:pPr>
      <w:pStyle w:val="Nagwek"/>
      <w:jc w:val="center"/>
      <w:rPr>
        <w:b/>
      </w:rPr>
    </w:pPr>
    <w:r w:rsidRPr="00F8444A">
      <w:rPr>
        <w:rFonts w:ascii="Garamond" w:hAnsi="Garamond"/>
        <w:b/>
        <w:bCs/>
      </w:rPr>
      <w:t>Część 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15FFF"/>
    <w:multiLevelType w:val="hybridMultilevel"/>
    <w:tmpl w:val="FA4E2888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113D7"/>
    <w:multiLevelType w:val="hybridMultilevel"/>
    <w:tmpl w:val="C93A6A8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666CB6"/>
    <w:multiLevelType w:val="hybridMultilevel"/>
    <w:tmpl w:val="91387D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D52"/>
    <w:rsid w:val="000C7969"/>
    <w:rsid w:val="00116498"/>
    <w:rsid w:val="00197853"/>
    <w:rsid w:val="0022244A"/>
    <w:rsid w:val="00261C19"/>
    <w:rsid w:val="002A6849"/>
    <w:rsid w:val="002E73B6"/>
    <w:rsid w:val="0032093A"/>
    <w:rsid w:val="00400863"/>
    <w:rsid w:val="0043541E"/>
    <w:rsid w:val="00461F60"/>
    <w:rsid w:val="0051751F"/>
    <w:rsid w:val="00523059"/>
    <w:rsid w:val="00541D52"/>
    <w:rsid w:val="00580E0E"/>
    <w:rsid w:val="00587DBB"/>
    <w:rsid w:val="005A3AAD"/>
    <w:rsid w:val="0062183E"/>
    <w:rsid w:val="00695CA8"/>
    <w:rsid w:val="00700929"/>
    <w:rsid w:val="007143AE"/>
    <w:rsid w:val="0076184F"/>
    <w:rsid w:val="007735EE"/>
    <w:rsid w:val="00785EE2"/>
    <w:rsid w:val="007909CE"/>
    <w:rsid w:val="00836D3C"/>
    <w:rsid w:val="00850D17"/>
    <w:rsid w:val="00862076"/>
    <w:rsid w:val="008707D6"/>
    <w:rsid w:val="008A76EA"/>
    <w:rsid w:val="008F7F82"/>
    <w:rsid w:val="009836EA"/>
    <w:rsid w:val="00AA65F4"/>
    <w:rsid w:val="00AB45B4"/>
    <w:rsid w:val="00BB05CA"/>
    <w:rsid w:val="00BD0796"/>
    <w:rsid w:val="00C7756C"/>
    <w:rsid w:val="00CC5E9A"/>
    <w:rsid w:val="00D10FDF"/>
    <w:rsid w:val="00DA207F"/>
    <w:rsid w:val="00E13FE3"/>
    <w:rsid w:val="00E606F7"/>
    <w:rsid w:val="00F73200"/>
    <w:rsid w:val="00F8444A"/>
    <w:rsid w:val="00FA72AD"/>
    <w:rsid w:val="00FC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905D2"/>
  <w15:docId w15:val="{A06DA967-028E-48C1-9753-933AEFB9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0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23059"/>
    <w:pPr>
      <w:keepNext/>
      <w:outlineLvl w:val="2"/>
    </w:pPr>
    <w:rPr>
      <w:b/>
      <w:bCs/>
      <w:color w:val="FF0000"/>
    </w:rPr>
  </w:style>
  <w:style w:type="paragraph" w:styleId="Nagwek4">
    <w:name w:val="heading 4"/>
    <w:basedOn w:val="Normalny"/>
    <w:next w:val="Normalny"/>
    <w:link w:val="Nagwek4Znak"/>
    <w:qFormat/>
    <w:rsid w:val="00523059"/>
    <w:pPr>
      <w:keepNext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3059"/>
  </w:style>
  <w:style w:type="paragraph" w:styleId="Stopka">
    <w:name w:val="footer"/>
    <w:basedOn w:val="Normalny"/>
    <w:link w:val="StopkaZnak"/>
    <w:uiPriority w:val="99"/>
    <w:unhideWhenUsed/>
    <w:rsid w:val="0052305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3059"/>
  </w:style>
  <w:style w:type="character" w:customStyle="1" w:styleId="Nagwek3Znak">
    <w:name w:val="Nagłówek 3 Znak"/>
    <w:basedOn w:val="Domylnaczcionkaakapitu"/>
    <w:link w:val="Nagwek3"/>
    <w:rsid w:val="00523059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523059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Adresodbiorcywlicie">
    <w:name w:val="Adres odbiorcy w liście"/>
    <w:basedOn w:val="Normalny"/>
    <w:rsid w:val="00523059"/>
  </w:style>
  <w:style w:type="paragraph" w:styleId="Tekstpodstawowy">
    <w:name w:val="Body Text"/>
    <w:basedOn w:val="Normalny"/>
    <w:link w:val="TekstpodstawowyZnak"/>
    <w:rsid w:val="00F8444A"/>
    <w:pPr>
      <w:jc w:val="center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F8444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8444A"/>
    <w:pPr>
      <w:ind w:firstLine="360"/>
    </w:pPr>
    <w:rPr>
      <w:b/>
      <w:bCs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844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43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43A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43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43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43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43A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3A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B39F4-25DA-4AB4-A706-E3C5D708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9</cp:revision>
  <cp:lastPrinted>2019-07-19T08:14:00Z</cp:lastPrinted>
  <dcterms:created xsi:type="dcterms:W3CDTF">2019-06-17T16:11:00Z</dcterms:created>
  <dcterms:modified xsi:type="dcterms:W3CDTF">2019-07-19T08:14:00Z</dcterms:modified>
</cp:coreProperties>
</file>