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F27" w:rsidRDefault="00E12F27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E12F27" w:rsidRDefault="00E12F27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BC771B" w:rsidRPr="0018723D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8723D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:rsidR="00BC771B" w:rsidRPr="0018723D" w:rsidRDefault="00BC771B" w:rsidP="00966E35">
      <w:pPr>
        <w:suppressAutoHyphens/>
        <w:spacing w:after="0" w:line="240" w:lineRule="auto"/>
        <w:jc w:val="center"/>
        <w:rPr>
          <w:rFonts w:ascii="Garamond" w:hAnsi="Garamond" w:cs="Times New Roman"/>
        </w:rPr>
      </w:pPr>
      <w:r w:rsidRPr="0018723D">
        <w:rPr>
          <w:rFonts w:ascii="Garamond" w:eastAsia="Times New Roman" w:hAnsi="Garamond" w:cs="Times New Roman"/>
          <w:b/>
          <w:lang w:eastAsia="ar-SA"/>
        </w:rPr>
        <w:t xml:space="preserve"> </w:t>
      </w:r>
      <w:r w:rsidR="0018723D" w:rsidRPr="0018723D">
        <w:rPr>
          <w:rFonts w:ascii="Garamond" w:hAnsi="Garamond"/>
          <w:b/>
          <w:bCs/>
        </w:rPr>
        <w:t>Dostawa 2 szt. automatycznych śluz do przekładania pacjenta dla Nowej Siedziby Szpitala Uniwersyteckiego (NSSU) wraz z instalacją, uruchomieniem i szkoleniem personelu</w:t>
      </w:r>
    </w:p>
    <w:p w:rsidR="00793C59" w:rsidRDefault="00793C59" w:rsidP="00D15F1D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D15F1D" w:rsidRPr="0018723D" w:rsidRDefault="00D15F1D" w:rsidP="00D15F1D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18723D">
        <w:rPr>
          <w:rFonts w:ascii="Garamond" w:hAnsi="Garamond" w:cs="Times New Roman"/>
          <w:sz w:val="22"/>
          <w:szCs w:val="22"/>
        </w:rPr>
        <w:t>Uwagi i objaśnienia:</w:t>
      </w:r>
    </w:p>
    <w:p w:rsidR="00D15F1D" w:rsidRPr="0018723D" w:rsidRDefault="00D15F1D" w:rsidP="00275E43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18723D">
        <w:rPr>
          <w:rFonts w:ascii="Garamond" w:hAnsi="Garamond" w:cs="Times New Roman"/>
          <w:sz w:val="22"/>
          <w:szCs w:val="22"/>
        </w:rPr>
        <w:t>Parametry określone jako „</w:t>
      </w:r>
      <w:r w:rsidR="00793C59">
        <w:rPr>
          <w:rFonts w:ascii="Garamond" w:hAnsi="Garamond" w:cs="Times New Roman"/>
          <w:sz w:val="22"/>
          <w:szCs w:val="22"/>
        </w:rPr>
        <w:t>T</w:t>
      </w:r>
      <w:r w:rsidRPr="0018723D">
        <w:rPr>
          <w:rFonts w:ascii="Garamond" w:hAnsi="Garamond" w:cs="Times New Roman"/>
          <w:sz w:val="22"/>
          <w:szCs w:val="22"/>
        </w:rPr>
        <w:t>ak” są parametrami graniczny</w:t>
      </w:r>
      <w:r w:rsidR="00793C59">
        <w:rPr>
          <w:rFonts w:ascii="Garamond" w:hAnsi="Garamond" w:cs="Times New Roman"/>
          <w:sz w:val="22"/>
          <w:szCs w:val="22"/>
        </w:rPr>
        <w:t>mi. Udzielenie odpowiedzi „nie”</w:t>
      </w:r>
      <w:r w:rsidRPr="0018723D">
        <w:rPr>
          <w:rFonts w:ascii="Garamond" w:hAnsi="Garamond" w:cs="Times New Roman"/>
          <w:sz w:val="22"/>
          <w:szCs w:val="22"/>
        </w:rPr>
        <w:t xml:space="preserve"> lub innej nie stanowiącej jednoznacznego potwierdzenia spełniania warunku będzie skutkowało odrzuceniem oferty.</w:t>
      </w:r>
    </w:p>
    <w:p w:rsidR="00D15F1D" w:rsidRPr="0018723D" w:rsidRDefault="00D15F1D" w:rsidP="00275E43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  <w:lang w:val="en-US"/>
        </w:rPr>
      </w:pPr>
      <w:r w:rsidRPr="0018723D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D15F1D" w:rsidRPr="0018723D" w:rsidRDefault="00D15F1D" w:rsidP="00275E43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18723D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18723D" w:rsidRDefault="00D15F1D" w:rsidP="00275E43">
      <w:pPr>
        <w:pStyle w:val="Standard"/>
        <w:numPr>
          <w:ilvl w:val="0"/>
          <w:numId w:val="3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18723D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18723D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18723D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D15F1D" w:rsidRDefault="00D15F1D" w:rsidP="00D15F1D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793C59" w:rsidRPr="0018723D" w:rsidRDefault="00793C59" w:rsidP="00D15F1D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18723D" w:rsidRPr="00E2092E" w:rsidTr="00655F9B">
        <w:trPr>
          <w:trHeight w:val="652"/>
        </w:trPr>
        <w:tc>
          <w:tcPr>
            <w:tcW w:w="3936" w:type="dxa"/>
            <w:vAlign w:val="bottom"/>
          </w:tcPr>
          <w:p w:rsidR="0018723D" w:rsidRPr="00E2092E" w:rsidRDefault="0018723D" w:rsidP="00655F9B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18723D" w:rsidRPr="00E2092E" w:rsidRDefault="0018723D" w:rsidP="00655F9B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18723D" w:rsidRPr="00E2092E" w:rsidTr="00655F9B">
        <w:trPr>
          <w:trHeight w:val="548"/>
        </w:trPr>
        <w:tc>
          <w:tcPr>
            <w:tcW w:w="3936" w:type="dxa"/>
            <w:vAlign w:val="bottom"/>
          </w:tcPr>
          <w:p w:rsidR="0018723D" w:rsidRPr="00E2092E" w:rsidRDefault="0018723D" w:rsidP="00655F9B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18723D" w:rsidRPr="00E2092E" w:rsidRDefault="0018723D" w:rsidP="00655F9B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18723D" w:rsidRPr="00E2092E" w:rsidTr="00655F9B">
        <w:trPr>
          <w:trHeight w:val="429"/>
        </w:trPr>
        <w:tc>
          <w:tcPr>
            <w:tcW w:w="3936" w:type="dxa"/>
            <w:vAlign w:val="bottom"/>
          </w:tcPr>
          <w:p w:rsidR="00793C59" w:rsidRDefault="00793C59" w:rsidP="00655F9B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</w:p>
          <w:p w:rsidR="0018723D" w:rsidRPr="00E2092E" w:rsidRDefault="0018723D" w:rsidP="00655F9B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18723D" w:rsidRPr="00E2092E" w:rsidRDefault="0018723D" w:rsidP="00655F9B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18723D" w:rsidRPr="00E2092E" w:rsidTr="00655F9B">
        <w:trPr>
          <w:trHeight w:val="549"/>
        </w:trPr>
        <w:tc>
          <w:tcPr>
            <w:tcW w:w="3936" w:type="dxa"/>
            <w:vAlign w:val="bottom"/>
          </w:tcPr>
          <w:p w:rsidR="0018723D" w:rsidRPr="00E2092E" w:rsidRDefault="0018723D" w:rsidP="00793C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18723D" w:rsidRPr="00E2092E" w:rsidRDefault="0018723D" w:rsidP="00655F9B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18723D" w:rsidRPr="00E2092E" w:rsidTr="00655F9B">
        <w:trPr>
          <w:trHeight w:val="629"/>
        </w:trPr>
        <w:tc>
          <w:tcPr>
            <w:tcW w:w="3936" w:type="dxa"/>
            <w:vAlign w:val="bottom"/>
          </w:tcPr>
          <w:p w:rsidR="0018723D" w:rsidRPr="00E2092E" w:rsidRDefault="0018723D" w:rsidP="00655F9B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18723D" w:rsidRPr="00E2092E" w:rsidRDefault="0018723D" w:rsidP="00655F9B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E2092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D15F1D" w:rsidRPr="0018723D" w:rsidRDefault="00D15F1D" w:rsidP="00D15F1D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4950AC" w:rsidRPr="0018723D" w:rsidRDefault="004950AC" w:rsidP="00D15F1D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4950AC" w:rsidRPr="0018723D" w:rsidRDefault="004950AC" w:rsidP="00D15F1D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4950AC" w:rsidRPr="0018723D" w:rsidRDefault="004950AC" w:rsidP="00D15F1D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:rsidR="00E350B5" w:rsidRPr="0018723D" w:rsidRDefault="00E350B5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p w:rsidR="002418CF" w:rsidRPr="0018723D" w:rsidRDefault="002418CF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994"/>
      </w:tblGrid>
      <w:tr w:rsidR="0018723D" w:rsidRPr="00201169" w:rsidTr="00793C59">
        <w:trPr>
          <w:trHeight w:val="674"/>
        </w:trPr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18723D" w:rsidRPr="0018723D" w:rsidRDefault="0018723D" w:rsidP="0018723D">
            <w:pPr>
              <w:suppressAutoHyphens/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b/>
                <w:bCs/>
                <w:sz w:val="22"/>
                <w:szCs w:val="22"/>
              </w:rPr>
              <w:t>Dostawa 2 szt. automatycznych śluz do przekładania pacjenta dla Nowej Siedziby Szpitala Uniwersyteckiego (NSSU) wraz z instalacją, uruchomieniem i szkoleniem personelu</w:t>
            </w:r>
          </w:p>
        </w:tc>
      </w:tr>
    </w:tbl>
    <w:p w:rsidR="0018723D" w:rsidRPr="00201169" w:rsidRDefault="0018723D" w:rsidP="0018723D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7"/>
        <w:gridCol w:w="1817"/>
        <w:gridCol w:w="3630"/>
        <w:gridCol w:w="5220"/>
      </w:tblGrid>
      <w:tr w:rsidR="0018723D" w:rsidRPr="00201169" w:rsidTr="00655F9B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23D" w:rsidRPr="00201169" w:rsidRDefault="0018723D" w:rsidP="00655F9B">
            <w:pPr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23D" w:rsidRPr="00201169" w:rsidRDefault="0018723D" w:rsidP="00655F9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23D" w:rsidRPr="00201169" w:rsidRDefault="0018723D" w:rsidP="00655F9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723D" w:rsidRPr="00201169" w:rsidRDefault="0018723D" w:rsidP="00655F9B">
            <w:pPr>
              <w:rPr>
                <w:rFonts w:ascii="Garamond" w:hAnsi="Garamond"/>
                <w:sz w:val="22"/>
                <w:szCs w:val="22"/>
              </w:rPr>
            </w:pPr>
            <w:r w:rsidRPr="00201169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201169">
              <w:rPr>
                <w:rFonts w:ascii="Garamond" w:hAnsi="Garamond"/>
                <w:sz w:val="22"/>
                <w:szCs w:val="22"/>
              </w:rPr>
              <w:t xml:space="preserve"> Cena </w:t>
            </w:r>
            <w:r w:rsidR="00B6162D" w:rsidRPr="007E6C54">
              <w:rPr>
                <w:rFonts w:ascii="Garamond" w:hAnsi="Garamond"/>
                <w:sz w:val="22"/>
                <w:szCs w:val="22"/>
              </w:rPr>
              <w:t>brutto</w:t>
            </w:r>
            <w:r w:rsidR="00B6162D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B6162D" w:rsidRPr="007E6C54">
              <w:rPr>
                <w:rFonts w:ascii="Garamond" w:hAnsi="Garamond"/>
                <w:sz w:val="22"/>
                <w:szCs w:val="22"/>
              </w:rPr>
              <w:t>sprzętu</w:t>
            </w:r>
            <w:r w:rsidR="00B6162D">
              <w:rPr>
                <w:rFonts w:ascii="Garamond" w:hAnsi="Garamond"/>
                <w:sz w:val="22"/>
                <w:szCs w:val="22"/>
              </w:rPr>
              <w:t xml:space="preserve"> wraz z dostawą</w:t>
            </w:r>
            <w:r w:rsidR="00B6162D" w:rsidRPr="0020116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201169">
              <w:rPr>
                <w:rFonts w:ascii="Garamond" w:hAnsi="Garamond"/>
                <w:sz w:val="22"/>
                <w:szCs w:val="22"/>
              </w:rPr>
              <w:t>(w zł):</w:t>
            </w:r>
          </w:p>
        </w:tc>
      </w:tr>
      <w:tr w:rsidR="0018723D" w:rsidRPr="00201169" w:rsidTr="00655F9B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23D" w:rsidRPr="00793C59" w:rsidRDefault="0018723D" w:rsidP="000037D1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793C59">
              <w:rPr>
                <w:rFonts w:ascii="Garamond" w:hAnsi="Garamond" w:cs="Calibri"/>
                <w:b/>
                <w:kern w:val="2"/>
                <w:sz w:val="22"/>
                <w:szCs w:val="22"/>
              </w:rPr>
              <w:t>Automatyczn</w:t>
            </w:r>
            <w:r w:rsidR="000037D1">
              <w:rPr>
                <w:rFonts w:ascii="Garamond" w:hAnsi="Garamond" w:cs="Calibri"/>
                <w:b/>
                <w:kern w:val="2"/>
                <w:sz w:val="22"/>
                <w:szCs w:val="22"/>
              </w:rPr>
              <w:t>a</w:t>
            </w:r>
            <w:r w:rsidRPr="00793C59">
              <w:rPr>
                <w:rFonts w:ascii="Garamond" w:hAnsi="Garamond" w:cs="Calibri"/>
                <w:b/>
                <w:kern w:val="2"/>
                <w:sz w:val="22"/>
                <w:szCs w:val="22"/>
              </w:rPr>
              <w:t xml:space="preserve"> śluz</w:t>
            </w:r>
            <w:r w:rsidR="000037D1">
              <w:rPr>
                <w:rFonts w:ascii="Garamond" w:hAnsi="Garamond" w:cs="Calibri"/>
                <w:b/>
                <w:kern w:val="2"/>
                <w:sz w:val="22"/>
                <w:szCs w:val="22"/>
              </w:rPr>
              <w:t>a</w:t>
            </w:r>
            <w:r w:rsidRPr="00793C59">
              <w:rPr>
                <w:rFonts w:ascii="Garamond" w:hAnsi="Garamond" w:cs="Calibri"/>
                <w:b/>
                <w:kern w:val="2"/>
                <w:sz w:val="22"/>
                <w:szCs w:val="22"/>
              </w:rPr>
              <w:t xml:space="preserve"> do przekładania pacjenta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8723D" w:rsidRPr="00201169" w:rsidRDefault="0018723D" w:rsidP="00655F9B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201169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3D" w:rsidRPr="00201169" w:rsidRDefault="0018723D" w:rsidP="00655F9B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23D" w:rsidRPr="00201169" w:rsidRDefault="0018723D" w:rsidP="00655F9B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</w:tr>
    </w:tbl>
    <w:p w:rsidR="0018723D" w:rsidRPr="00201169" w:rsidRDefault="0018723D" w:rsidP="0018723D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29"/>
        <w:gridCol w:w="4040"/>
        <w:gridCol w:w="5251"/>
      </w:tblGrid>
      <w:tr w:rsidR="0018723D" w:rsidRPr="00201169" w:rsidTr="00655F9B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8723D" w:rsidRPr="00201169" w:rsidRDefault="0018723D" w:rsidP="00655F9B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8723D" w:rsidRPr="00201169" w:rsidRDefault="0018723D" w:rsidP="00655F9B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723D" w:rsidRPr="00201169" w:rsidRDefault="0018723D" w:rsidP="00655F9B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723D" w:rsidRPr="00201169" w:rsidRDefault="0018723D" w:rsidP="00B6162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201169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</w:t>
            </w:r>
            <w:r w:rsidR="0052480E" w:rsidRPr="00567BED">
              <w:rPr>
                <w:rFonts w:ascii="Cambria" w:hAnsi="Cambria"/>
                <w:bCs/>
                <w:color w:val="000000"/>
              </w:rPr>
              <w:t xml:space="preserve"> instal</w:t>
            </w:r>
            <w:r w:rsidR="0052480E" w:rsidRPr="00B6162D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acji, uruchomienia </w:t>
            </w:r>
            <w:r w:rsidR="0052480E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 Nowej siedziby Szpitala 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>(w zł):</w:t>
            </w:r>
          </w:p>
        </w:tc>
      </w:tr>
      <w:tr w:rsidR="0018723D" w:rsidRPr="00201169" w:rsidTr="00655F9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8723D" w:rsidRPr="00201169" w:rsidRDefault="0018723D" w:rsidP="00655F9B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8723D" w:rsidRPr="00201169" w:rsidRDefault="0018723D" w:rsidP="00655F9B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18723D" w:rsidRPr="00201169" w:rsidRDefault="0018723D" w:rsidP="00655F9B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18723D" w:rsidRPr="00201169" w:rsidRDefault="0018723D" w:rsidP="0018723D">
      <w:pPr>
        <w:spacing w:after="0" w:line="240" w:lineRule="auto"/>
        <w:rPr>
          <w:rFonts w:ascii="Garamond" w:hAnsi="Garamond" w:cs="Times New Roman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186"/>
      </w:tblGrid>
      <w:tr w:rsidR="00B6162D" w:rsidRPr="00201169" w:rsidTr="00B6162D">
        <w:trPr>
          <w:trHeight w:val="70"/>
          <w:jc w:val="right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6162D" w:rsidRPr="00201169" w:rsidRDefault="00B6162D" w:rsidP="00B6162D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C</w:t>
            </w:r>
            <w:r w:rsidRPr="00201169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: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</w:t>
            </w:r>
            <w:r w:rsidRPr="00B6162D">
              <w:rPr>
                <w:rFonts w:ascii="Garamond" w:eastAsia="Calibri" w:hAnsi="Garamond"/>
                <w:sz w:val="22"/>
                <w:szCs w:val="22"/>
                <w:lang w:eastAsia="en-US"/>
              </w:rPr>
              <w:t>szkolenia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 Nowej siedziby Szpitala </w:t>
            </w:r>
            <w:r w:rsidRPr="00201169">
              <w:rPr>
                <w:rFonts w:ascii="Garamond" w:eastAsia="Calibri" w:hAnsi="Garamond"/>
                <w:sz w:val="22"/>
                <w:szCs w:val="22"/>
                <w:lang w:eastAsia="en-US"/>
              </w:rPr>
              <w:t>(w zł):</w:t>
            </w:r>
          </w:p>
        </w:tc>
      </w:tr>
      <w:tr w:rsidR="00B6162D" w:rsidRPr="00201169" w:rsidTr="00B6162D">
        <w:trPr>
          <w:jc w:val="right"/>
        </w:trPr>
        <w:tc>
          <w:tcPr>
            <w:tcW w:w="5186" w:type="dxa"/>
            <w:tcBorders>
              <w:left w:val="single" w:sz="4" w:space="0" w:color="auto"/>
            </w:tcBorders>
          </w:tcPr>
          <w:p w:rsidR="00B6162D" w:rsidRPr="00201169" w:rsidRDefault="00B6162D" w:rsidP="001447B6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18723D" w:rsidRDefault="0018723D">
      <w:pPr>
        <w:rPr>
          <w:rFonts w:ascii="Garamond" w:eastAsia="Times New Roman" w:hAnsi="Garamond" w:cs="Times New Roman"/>
          <w:b/>
          <w:lang w:eastAsia="ar-SA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18723D" w:rsidRPr="003F4009" w:rsidTr="00655F9B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8723D" w:rsidRPr="003F4009" w:rsidRDefault="0018723D" w:rsidP="0052480E">
            <w:pPr>
              <w:snapToGrid w:val="0"/>
              <w:spacing w:after="0" w:line="240" w:lineRule="auto"/>
              <w:rPr>
                <w:rFonts w:ascii="Garamond" w:hAnsi="Garamond" w:cs="Times New Roman"/>
                <w:bCs/>
              </w:rPr>
            </w:pPr>
            <w:r w:rsidRPr="003F4009">
              <w:rPr>
                <w:rFonts w:ascii="Garamond" w:hAnsi="Garamond" w:cs="Times New Roman"/>
                <w:b/>
                <w:bCs/>
              </w:rPr>
              <w:t>A+ B</w:t>
            </w:r>
            <w:r w:rsidR="00B6162D">
              <w:rPr>
                <w:rFonts w:ascii="Garamond" w:hAnsi="Garamond" w:cs="Times New Roman"/>
                <w:b/>
                <w:bCs/>
              </w:rPr>
              <w:t>+C</w:t>
            </w:r>
            <w:r w:rsidR="0052480E">
              <w:rPr>
                <w:rFonts w:ascii="Garamond" w:hAnsi="Garamond" w:cs="Times New Roman"/>
                <w:b/>
                <w:bCs/>
              </w:rPr>
              <w:t>:</w:t>
            </w:r>
            <w:r w:rsidRPr="003F4009">
              <w:rPr>
                <w:rFonts w:ascii="Garamond" w:hAnsi="Garamond" w:cs="Times New Roman"/>
                <w:b/>
                <w:bCs/>
              </w:rPr>
              <w:t xml:space="preserve"> </w:t>
            </w:r>
            <w:r w:rsidRPr="0018723D">
              <w:rPr>
                <w:rFonts w:ascii="Garamond" w:hAnsi="Garamond" w:cs="Times New Roman"/>
                <w:bCs/>
                <w:shd w:val="clear" w:color="auto" w:fill="F2F2F2" w:themeFill="background1" w:themeFillShade="F2"/>
              </w:rPr>
              <w:t xml:space="preserve">Cena brutto oferty </w:t>
            </w:r>
            <w:r w:rsidRPr="0018723D">
              <w:rPr>
                <w:rFonts w:ascii="Garamond" w:eastAsia="Times New Roman" w:hAnsi="Garamond" w:cs="Times New Roman"/>
                <w:shd w:val="clear" w:color="auto" w:fill="F2F2F2" w:themeFill="background1" w:themeFillShade="F2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8723D" w:rsidRPr="003F4009" w:rsidRDefault="0018723D" w:rsidP="00655F9B">
            <w:pPr>
              <w:snapToGrid w:val="0"/>
              <w:spacing w:after="0" w:line="240" w:lineRule="auto"/>
              <w:rPr>
                <w:rFonts w:ascii="Garamond" w:hAnsi="Garamond" w:cs="Times New Roman"/>
                <w:bCs/>
              </w:rPr>
            </w:pPr>
          </w:p>
        </w:tc>
      </w:tr>
    </w:tbl>
    <w:p w:rsidR="0018723D" w:rsidRDefault="0018723D">
      <w:pPr>
        <w:rPr>
          <w:rFonts w:ascii="Garamond" w:eastAsia="Times New Roman" w:hAnsi="Garamond" w:cs="Times New Roman"/>
          <w:b/>
          <w:lang w:eastAsia="ar-SA"/>
        </w:rPr>
      </w:pPr>
    </w:p>
    <w:p w:rsidR="0018723D" w:rsidRDefault="0018723D">
      <w:pPr>
        <w:rPr>
          <w:rFonts w:ascii="Garamond" w:eastAsia="Times New Roman" w:hAnsi="Garamond" w:cs="Times New Roman"/>
          <w:b/>
          <w:lang w:eastAsia="ar-SA"/>
        </w:rPr>
      </w:pPr>
    </w:p>
    <w:p w:rsidR="0052480E" w:rsidRDefault="0052480E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:rsidR="00BC771B" w:rsidRPr="0018723D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8723D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:rsidR="00BC771B" w:rsidRPr="0018723D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2409"/>
        <w:gridCol w:w="2410"/>
        <w:gridCol w:w="2268"/>
      </w:tblGrid>
      <w:tr w:rsidR="00BC771B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1B" w:rsidRPr="0018723D" w:rsidRDefault="00BC771B" w:rsidP="00BC771B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18723D" w:rsidRDefault="00966E35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18723D" w:rsidRDefault="00966E35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 xml:space="preserve">System zautomatyzowanego przenoszenia pacjenta między obszarem sterylnym </w:t>
            </w:r>
            <w:proofErr w:type="spellStart"/>
            <w:r w:rsidRPr="0018723D">
              <w:rPr>
                <w:rFonts w:ascii="Garamond" w:hAnsi="Garamond" w:cs="Times New Roman"/>
              </w:rPr>
              <w:t>sal</w:t>
            </w:r>
            <w:proofErr w:type="spellEnd"/>
            <w:r w:rsidRPr="0018723D">
              <w:rPr>
                <w:rFonts w:ascii="Garamond" w:hAnsi="Garamond" w:cs="Times New Roman"/>
              </w:rPr>
              <w:t xml:space="preserve"> operacyjnych a obszarem niesterylnym. System na stałe wbudowan</w:t>
            </w:r>
            <w:r w:rsidR="0018723D">
              <w:rPr>
                <w:rFonts w:ascii="Garamond" w:hAnsi="Garamond" w:cs="Times New Roman"/>
              </w:rPr>
              <w:t>y w podłoże (nie dopuszcza się</w:t>
            </w:r>
            <w:r w:rsidRPr="0018723D">
              <w:rPr>
                <w:rFonts w:ascii="Garamond" w:hAnsi="Garamond" w:cs="Times New Roman"/>
              </w:rPr>
              <w:t xml:space="preserve"> systemu na kółkach lub mobilny)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18723D" w:rsidRDefault="00966E35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6E35" w:rsidRPr="0018723D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6E35" w:rsidRPr="0018723D" w:rsidRDefault="00966E35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System zasilany z istniejącej  instalacji w podłodze pomieszczenia (instalacja stała bez wtyczek i przewodów  widocznych na zewnątrz poza elementami urządzenia)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System przystosowany do przenoszenia pacjenta z łóżka szpitalnego na stół operacyjny lub blat stołu na wózku i w kierunku przeciwnym – ze stołu operacyjnego na łóżko szpitalne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System wyklucza konieczność wjeżdżania łóżkiem na obszar sterylny oraz stołem operacyjnym na obszar niesterylny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Blat systemu przenoszenia pacjenta dostosowująca się do wysokości łóżka i do wysokości stołu operacyjnego co najmniej w zakresie 650 – 1030 mm. Blat podgrzewany do temp.  min. 32 stopni 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Funkcja automatycznego wykrywania łóżka i transportera z bloku operacyjnego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B866E3" w:rsidP="00B866E3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Szybkość transferu pacjenta i przemieszczania w kierunku góra-dół regulowana – wymagane co najmniej 2 prędkości dla każdej w/w funkcji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System wyposażony w system antykolizyjny z blatem stołu lub łóżka.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Maksymalne dopuszczalne obciążenie co najmniej 180 kg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B866E3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B866E3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180 kg. – 0 pkt</w:t>
            </w:r>
          </w:p>
          <w:p w:rsidR="00B866E3" w:rsidRPr="0018723D" w:rsidRDefault="00B866E3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Większe – 5 pkt.</w:t>
            </w:r>
          </w:p>
          <w:p w:rsidR="00B866E3" w:rsidRPr="0018723D" w:rsidRDefault="00B866E3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18723D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Obsługa funkcji pracy</w:t>
            </w:r>
            <w:r w:rsidR="00E42DA8" w:rsidRPr="0018723D">
              <w:rPr>
                <w:rFonts w:ascii="Garamond" w:hAnsi="Garamond" w:cs="Times New Roman"/>
              </w:rPr>
              <w:t xml:space="preserve"> urządzenia w trybie automatycznym i ręcznym.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Panel sterowania systemu obrotowy, dostę</w:t>
            </w:r>
            <w:r w:rsidR="0018723D">
              <w:rPr>
                <w:rFonts w:ascii="Garamond" w:hAnsi="Garamond" w:cs="Times New Roman"/>
              </w:rPr>
              <w:t>pny z obu stron,  lub przypadku</w:t>
            </w:r>
            <w:r w:rsidRPr="0018723D">
              <w:rPr>
                <w:rFonts w:ascii="Garamond" w:hAnsi="Garamond" w:cs="Times New Roman"/>
              </w:rPr>
              <w:t xml:space="preserve"> braku takiej funkcji system powinien być wyposażony w min 3 piloty bezprzewodowe z ładowarkami  oraz powinien być wyposażony w komputerową kontrolę sekwencji funkcji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Maksymalny zasięg ruchu poziomeg</w:t>
            </w:r>
            <w:r w:rsidR="00094947">
              <w:rPr>
                <w:rFonts w:ascii="Garamond" w:hAnsi="Garamond" w:cs="Times New Roman"/>
              </w:rPr>
              <w:t>o blatu co najmniej 760 mm oraz</w:t>
            </w:r>
            <w:r w:rsidRPr="0018723D">
              <w:rPr>
                <w:rFonts w:ascii="Garamond" w:hAnsi="Garamond" w:cs="Times New Roman"/>
              </w:rPr>
              <w:t xml:space="preserve"> wyposażenie systemu w system skanowania podczerwienią do automatycznego rozpoznawania łóżek i transporterów blatów stołów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Blat systemu wyposażony w czujniki prawidłowego ułożenia pacjenta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System wypo</w:t>
            </w:r>
            <w:r w:rsidR="00094947">
              <w:rPr>
                <w:rFonts w:ascii="Garamond" w:hAnsi="Garamond" w:cs="Times New Roman"/>
              </w:rPr>
              <w:t>sażony w czujniki zapobiegające</w:t>
            </w:r>
            <w:r w:rsidRPr="0018723D">
              <w:rPr>
                <w:rFonts w:ascii="Garamond" w:hAnsi="Garamond" w:cs="Times New Roman"/>
              </w:rPr>
              <w:t xml:space="preserve"> kolizji taśmy transportera z blatem stołu czy łóżka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Transporter wyposażony w funkcję zmiany prędkości przesuwu taśmy  jak również w tryb zmiany prędkości podnoszenia i opuszczania kolumny transportera.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C83FF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Zawartotabeli"/>
              <w:numPr>
                <w:ilvl w:val="0"/>
                <w:numId w:val="5"/>
              </w:numPr>
              <w:snapToGrid w:val="0"/>
              <w:spacing w:before="100" w:beforeAutospacing="1" w:after="100" w:afterAutospacing="1" w:line="360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tabs>
                <w:tab w:val="center" w:pos="4536"/>
                <w:tab w:val="right" w:pos="9072"/>
              </w:tabs>
              <w:spacing w:before="100" w:beforeAutospacing="1" w:after="100" w:afterAutospacing="1" w:line="360" w:lineRule="auto"/>
              <w:jc w:val="both"/>
              <w:rPr>
                <w:rFonts w:ascii="Garamond" w:hAnsi="Garamond" w:cs="Times New Roman"/>
              </w:rPr>
            </w:pPr>
            <w:r w:rsidRPr="0018723D">
              <w:rPr>
                <w:rFonts w:ascii="Garamond" w:hAnsi="Garamond" w:cs="Times New Roman"/>
              </w:rPr>
              <w:t>Transporter wyposażony w funkcję czyszczenia taśmy transportera.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E42DA8">
            <w:pPr>
              <w:jc w:val="center"/>
              <w:rPr>
                <w:rFonts w:ascii="Garamond" w:hAnsi="Garamond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42DA8" w:rsidRPr="0018723D" w:rsidRDefault="00E42DA8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83FFD" w:rsidRPr="0018723D" w:rsidTr="006E78B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150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FFD" w:rsidRPr="0018723D" w:rsidRDefault="00C83FFD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966E35" w:rsidRPr="0018723D" w:rsidTr="00C83F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1</w:t>
            </w:r>
            <w:r w:rsidR="00C83FFD" w:rsidRPr="0018723D">
              <w:rPr>
                <w:rFonts w:ascii="Garamond" w:eastAsia="Times New Roman" w:hAnsi="Garamond" w:cs="Times New Roman"/>
                <w:lang w:eastAsia="ar-SA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35" w:rsidRPr="0018723D" w:rsidRDefault="00966E35" w:rsidP="00793C59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966E35" w:rsidRPr="0018723D" w:rsidTr="00C83F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35" w:rsidRPr="0018723D" w:rsidRDefault="00C83FFD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35" w:rsidRPr="0018723D" w:rsidRDefault="00966E35" w:rsidP="00793C59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instrukcja obsługi zawierająca wska</w:t>
            </w:r>
            <w:r w:rsidR="00793C59">
              <w:rPr>
                <w:rFonts w:ascii="Garamond" w:eastAsia="Times New Roman" w:hAnsi="Garamond" w:cs="Times New Roman"/>
                <w:lang w:eastAsia="ar-SA"/>
              </w:rPr>
              <w:t>zówki zarządzania wydajnością i 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>energooszczędnością urządzenia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966E35" w:rsidRPr="0018723D" w:rsidTr="00C83F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35" w:rsidRPr="0018723D" w:rsidRDefault="00C83FFD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lastRenderedPageBreak/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35" w:rsidRPr="0018723D" w:rsidRDefault="00966E35" w:rsidP="00793C59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szkolenia dla personelu medycznego i technicznego w zakresie efektywności energetycznej urządzenia</w:t>
            </w:r>
            <w:r w:rsidR="00094947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966E35" w:rsidRPr="0018723D" w:rsidTr="00C83F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35" w:rsidRPr="0018723D" w:rsidRDefault="00C83FFD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35" w:rsidRPr="0018723D" w:rsidRDefault="00966E35" w:rsidP="00793C59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certyfikaty producenta potwierdzające w</w:t>
            </w:r>
            <w:r w:rsidR="00094947">
              <w:rPr>
                <w:rFonts w:ascii="Garamond" w:eastAsia="Times New Roman" w:hAnsi="Garamond" w:cs="Times New Roman"/>
                <w:lang w:eastAsia="ar-SA"/>
              </w:rPr>
              <w:t>prowadzenie systemu zarządzania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 xml:space="preserve"> produkcji zgodnego z dyrektywami i/lub normami dotyczącymi ekologii, energooszczędności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966E35" w:rsidRPr="0018723D" w:rsidTr="00C83F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35" w:rsidRPr="0018723D" w:rsidRDefault="00C83FFD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21.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35" w:rsidRPr="0018723D" w:rsidRDefault="00966E35" w:rsidP="00793C59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trwałość produktu rozumiana jako gwarantowany okres pełnego wsparcia serwisowego oraz pełnego dostępu części zamiennych i oprogramowania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  <w:tr w:rsidR="00966E35" w:rsidRPr="0018723D" w:rsidTr="00C83F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6E35" w:rsidRPr="0018723D" w:rsidRDefault="00C83FFD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35" w:rsidRPr="0018723D" w:rsidRDefault="00966E35" w:rsidP="00793C59">
            <w:pPr>
              <w:suppressAutoHyphens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możliwość automatycznego przechodzenia urządzenia w tryb czuwania/niskiego poboru mocy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 – 1 pkt.</w:t>
            </w:r>
          </w:p>
          <w:p w:rsidR="00966E35" w:rsidRPr="0018723D" w:rsidRDefault="00966E35" w:rsidP="00094947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NIE – 0 pkt.</w:t>
            </w:r>
          </w:p>
        </w:tc>
      </w:tr>
    </w:tbl>
    <w:p w:rsidR="00966E35" w:rsidRPr="0018723D" w:rsidRDefault="00966E35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tbl>
      <w:tblPr>
        <w:tblpPr w:leftFromText="141" w:rightFromText="141" w:vertAnchor="text" w:tblpX="11216" w:tblpY="-20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</w:tblGrid>
      <w:tr w:rsidR="00BC771B" w:rsidRPr="0018723D" w:rsidTr="00912197">
        <w:trPr>
          <w:trHeight w:val="195"/>
        </w:trPr>
        <w:tc>
          <w:tcPr>
            <w:tcW w:w="495" w:type="dxa"/>
          </w:tcPr>
          <w:p w:rsidR="00BC771B" w:rsidRPr="0018723D" w:rsidRDefault="00BC771B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</w:p>
        </w:tc>
      </w:tr>
    </w:tbl>
    <w:p w:rsidR="00BC771B" w:rsidRPr="0018723D" w:rsidRDefault="00BC771B" w:rsidP="00793C59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:rsidR="00BC771B" w:rsidRPr="0018723D" w:rsidRDefault="005838E5" w:rsidP="00793C59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8723D">
        <w:rPr>
          <w:rFonts w:ascii="Garamond" w:eastAsia="Times New Roman" w:hAnsi="Garamond" w:cs="Times New Roman"/>
          <w:b/>
          <w:lang w:eastAsia="ar-SA"/>
        </w:rPr>
        <w:t>WARUNKI GWARANCJI</w:t>
      </w:r>
    </w:p>
    <w:tbl>
      <w:tblPr>
        <w:tblW w:w="15092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2409"/>
        <w:gridCol w:w="2410"/>
        <w:gridCol w:w="2334"/>
      </w:tblGrid>
      <w:tr w:rsidR="00BC771B" w:rsidRPr="0018723D" w:rsidTr="00E42D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18723D" w:rsidTr="00E42D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837A4C" w:rsidRDefault="00837A4C" w:rsidP="00837A4C">
            <w:p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966E35" w:rsidP="00793C59">
            <w:pPr>
              <w:snapToGrid w:val="0"/>
              <w:spacing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8723D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</w:p>
          <w:p w:rsidR="00966E35" w:rsidRPr="0018723D" w:rsidRDefault="00966E35" w:rsidP="00793C59">
            <w:pPr>
              <w:spacing w:line="288" w:lineRule="auto"/>
              <w:jc w:val="both"/>
              <w:rPr>
                <w:rFonts w:ascii="Garamond" w:hAnsi="Garamond" w:cs="Times New Roman"/>
                <w:iCs/>
                <w:color w:val="000000" w:themeColor="text1"/>
              </w:rPr>
            </w:pPr>
            <w:r w:rsidRPr="0018723D">
              <w:rPr>
                <w:rFonts w:ascii="Garamond" w:hAnsi="Garamond" w:cs="Times New Roman"/>
                <w:iCs/>
                <w:color w:val="000000" w:themeColor="text1"/>
              </w:rPr>
              <w:t xml:space="preserve">Zamawiający zastrzega, że okres rękojmi musi być równy okresowi gwarancji.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C83FFD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18723D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3FFD" w:rsidRPr="0018723D" w:rsidRDefault="00C83FFD" w:rsidP="00C83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:rsidR="00966E35" w:rsidRPr="00837A4C" w:rsidRDefault="00C83FFD" w:rsidP="00837A4C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/>
                <w:lang w:eastAsia="ar-SA"/>
              </w:rPr>
            </w:pPr>
            <w:r w:rsidRPr="00837A4C">
              <w:rPr>
                <w:rFonts w:ascii="Garamond" w:eastAsia="Times New Roman" w:hAnsi="Garamond"/>
                <w:lang w:eastAsia="ar-SA"/>
              </w:rPr>
              <w:t xml:space="preserve"> więcej – 5 pkt.</w:t>
            </w:r>
          </w:p>
        </w:tc>
      </w:tr>
      <w:tr w:rsidR="00966E35" w:rsidRPr="0018723D" w:rsidTr="00E42DA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837A4C" w:rsidRDefault="00837A4C" w:rsidP="00837A4C">
            <w:p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24.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966E35" w:rsidP="00793C59">
            <w:pPr>
              <w:snapToGrid w:val="0"/>
              <w:spacing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8723D">
              <w:rPr>
                <w:rFonts w:ascii="Garamond" w:hAnsi="Garamond" w:cs="Times New Roman"/>
                <w:color w:val="000000" w:themeColor="text1"/>
              </w:rPr>
              <w:t>Gwarancja produkcji części zamiennych [liczba lat] – min. 8 lat (peryferyjny sprzęt komputerowy – min. 5 lat)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09494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B866E3" w:rsidRPr="0018723D">
              <w:rPr>
                <w:rFonts w:ascii="Garamond" w:eastAsia="Times New Roman" w:hAnsi="Garamond" w:cs="Times New Roman"/>
                <w:lang w:eastAsia="ar-SA"/>
              </w:rPr>
              <w:t>ak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18723D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35" w:rsidRPr="0018723D" w:rsidRDefault="00B866E3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18723D" w:rsidTr="00E42D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837A4C" w:rsidP="00E42D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  <w:r>
              <w:rPr>
                <w:rFonts w:ascii="Garamond" w:eastAsia="Times New Roman" w:hAnsi="Garamond"/>
                <w:lang w:eastAsia="ar-SA"/>
              </w:rPr>
              <w:t>25</w:t>
            </w:r>
            <w:r w:rsidR="00E42DA8" w:rsidRPr="0018723D">
              <w:rPr>
                <w:rFonts w:ascii="Garamond" w:eastAsia="Times New Roman" w:hAnsi="Garamond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18723D" w:rsidRDefault="00966E35" w:rsidP="00793C59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E12F2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18723D">
              <w:rPr>
                <w:rFonts w:ascii="Garamond" w:eastAsia="Times New Roman" w:hAnsi="Garamond" w:cs="Times New Roman"/>
                <w:lang w:eastAsia="ar-SA"/>
              </w:rPr>
              <w:t>odać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35" w:rsidRPr="0018723D" w:rsidRDefault="00966E35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jeden – 5 pkt, więcej – 0 pkt</w:t>
            </w:r>
          </w:p>
        </w:tc>
      </w:tr>
      <w:tr w:rsidR="00966E35" w:rsidRPr="0018723D" w:rsidTr="00E42D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837A4C" w:rsidP="00E42DA8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26</w:t>
            </w:r>
            <w:r w:rsidR="00E42DA8" w:rsidRPr="0018723D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66E35" w:rsidRPr="0018723D" w:rsidRDefault="00966E35" w:rsidP="00793C59">
            <w:pPr>
              <w:suppressAutoHyphens/>
              <w:snapToGrid w:val="0"/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5838E5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18723D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E35" w:rsidRPr="0018723D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E35" w:rsidRPr="0018723D" w:rsidRDefault="00966E3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18723D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:rsidR="005838E5" w:rsidRPr="0018723D" w:rsidRDefault="005838E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:rsidR="00BC771B" w:rsidRPr="0018723D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BC771B" w:rsidRPr="0018723D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BC771B" w:rsidRPr="0018723D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837A4C" w:rsidRDefault="00837A4C">
      <w:pPr>
        <w:rPr>
          <w:rFonts w:ascii="Garamond" w:eastAsia="Times New Roman" w:hAnsi="Garamond" w:cs="Times New Roman"/>
          <w:b/>
          <w:lang w:eastAsia="ar-SA"/>
        </w:rPr>
      </w:pPr>
      <w:r>
        <w:rPr>
          <w:rFonts w:ascii="Garamond" w:eastAsia="Times New Roman" w:hAnsi="Garamond" w:cs="Times New Roman"/>
          <w:b/>
          <w:lang w:eastAsia="ar-SA"/>
        </w:rPr>
        <w:br w:type="page"/>
      </w:r>
    </w:p>
    <w:p w:rsidR="00BC771B" w:rsidRPr="0018723D" w:rsidRDefault="00E12F27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8723D">
        <w:rPr>
          <w:rFonts w:ascii="Garamond" w:eastAsia="Times New Roman" w:hAnsi="Garamond" w:cs="Times New Roman"/>
          <w:b/>
          <w:lang w:eastAsia="ar-SA"/>
        </w:rPr>
        <w:lastRenderedPageBreak/>
        <w:t>WARUNKI SERWISU</w:t>
      </w:r>
    </w:p>
    <w:tbl>
      <w:tblPr>
        <w:tblW w:w="1516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2409"/>
        <w:gridCol w:w="2410"/>
        <w:gridCol w:w="2399"/>
        <w:gridCol w:w="11"/>
      </w:tblGrid>
      <w:tr w:rsidR="00BC771B" w:rsidRPr="0018723D" w:rsidTr="00E42DA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771B" w:rsidRPr="0018723D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71B" w:rsidRPr="0018723D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18723D" w:rsidTr="00E42DA8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837A4C" w:rsidP="00E42DA8">
            <w:p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27</w:t>
            </w:r>
            <w:r w:rsidR="00E42DA8" w:rsidRPr="0018723D">
              <w:rPr>
                <w:rFonts w:ascii="Garamond" w:hAnsi="Garamond"/>
                <w:color w:val="000000" w:themeColor="text1"/>
              </w:rPr>
              <w:t>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DA8" w:rsidRPr="0018723D" w:rsidRDefault="00E42DA8" w:rsidP="00793C59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8723D">
              <w:rPr>
                <w:rFonts w:ascii="Garamond" w:hAnsi="Garamond" w:cs="Times New Roman"/>
                <w:color w:val="000000" w:themeColor="text1"/>
              </w:rPr>
              <w:t>Zdalna diagnostyka przez chronione łącze z możliwością rejestracji i odczytu online rejestrów błędów, oraz monitorowaniem systemu (uwaga – całość ewentualnych prac i wyposażenia sprzętowego, które będzie służyło tej funkcjonalności po stronie wykonawcy)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DA8" w:rsidRPr="0018723D" w:rsidRDefault="00E12F2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E42DA8" w:rsidRPr="0018723D">
              <w:rPr>
                <w:rFonts w:ascii="Garamond" w:eastAsia="Times New Roman" w:hAnsi="Garamond" w:cs="Times New Roman"/>
                <w:lang w:eastAsia="ar-SA"/>
              </w:rPr>
              <w:t>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E42DA8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DA8" w:rsidRPr="00837A4C" w:rsidRDefault="00837A4C" w:rsidP="00837A4C">
            <w:p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28.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snapToGrid w:val="0"/>
              <w:spacing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8723D">
              <w:rPr>
                <w:rFonts w:ascii="Garamond" w:hAnsi="Garamond" w:cs="Times New Roman"/>
                <w:color w:val="000000" w:themeColor="text1"/>
              </w:rPr>
              <w:t xml:space="preserve">W cenie oferty -  przeglądy okresowe w okresie gwarancji </w:t>
            </w:r>
            <w:r w:rsidR="00793C59">
              <w:rPr>
                <w:rFonts w:ascii="Garamond" w:hAnsi="Garamond" w:cs="Times New Roman"/>
                <w:color w:val="000000" w:themeColor="text1"/>
              </w:rPr>
              <w:t>(w częstotliwości i w </w:t>
            </w:r>
            <w:r w:rsidRPr="0018723D">
              <w:rPr>
                <w:rFonts w:ascii="Garamond" w:hAnsi="Garamond" w:cs="Times New Roman"/>
                <w:color w:val="000000" w:themeColor="text1"/>
              </w:rPr>
              <w:t>zakresie zgodnym z wymogami producenta)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DA8" w:rsidRPr="0018723D" w:rsidRDefault="00E12F2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>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E42DA8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snapToGrid w:val="0"/>
              <w:spacing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8723D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12F27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>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E42DA8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Czas reakcji (dotyczy także reakcji zdalnej): „przyjęte zgłoszenie – podjęta naprawa” =&lt; 24 [godz.]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E12F27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>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E42DA8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E12F27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>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E42DA8">
        <w:trPr>
          <w:gridAfter w:val="1"/>
          <w:wAfter w:w="11" w:type="dxa"/>
          <w:trHeight w:val="91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E12F27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>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E42DA8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793C59">
            <w:pPr>
              <w:snapToGrid w:val="0"/>
              <w:spacing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8723D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E12F27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Pr="0018723D">
              <w:rPr>
                <w:rFonts w:ascii="Garamond" w:eastAsia="Times New Roman" w:hAnsi="Garamond" w:cs="Times New Roman"/>
                <w:lang w:eastAsia="ar-SA"/>
              </w:rPr>
              <w:t>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E42DA8">
        <w:trPr>
          <w:gridAfter w:val="1"/>
          <w:wAfter w:w="11" w:type="dxa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2DA8" w:rsidRPr="0018723D" w:rsidRDefault="00E42DA8" w:rsidP="00793C59">
            <w:pPr>
              <w:tabs>
                <w:tab w:val="left" w:pos="0"/>
              </w:tabs>
              <w:snapToGrid w:val="0"/>
              <w:spacing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18723D">
              <w:rPr>
                <w:rFonts w:ascii="Garamond" w:hAnsi="Garamond" w:cs="Times New Roman"/>
                <w:color w:val="000000" w:themeColor="text1"/>
              </w:rPr>
              <w:t xml:space="preserve">Struktura serwisowa gwarantująca realizację wymogów stawianych w niniejszej specyfikacji – należy podać wykaz serwisów i/lub serwisantów posiadających uprawnienia do obsługi serwisowej oferowanych urządzeń (należy podać dane </w:t>
            </w:r>
            <w:r w:rsidRPr="0018723D">
              <w:rPr>
                <w:rFonts w:ascii="Garamond" w:hAnsi="Garamond" w:cs="Times New Roman"/>
                <w:color w:val="000000" w:themeColor="text1"/>
              </w:rPr>
              <w:lastRenderedPageBreak/>
              <w:t>teleadresowe, sposób kontaktu i liczbę osób serwisu własnego lub podwykonawcy posiadającego uprawnienia do tego typu działalności)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DA8" w:rsidRPr="0018723D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239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866E3" w:rsidRPr="0018723D" w:rsidRDefault="00B866E3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B866E3" w:rsidRPr="0018723D" w:rsidRDefault="00B866E3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B866E3" w:rsidRPr="0018723D" w:rsidRDefault="00B866E3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:rsidR="00E42DA8" w:rsidRPr="0018723D" w:rsidRDefault="00B866E3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8723D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18723D" w:rsidTr="00E42DA8">
        <w:tblPrEx>
          <w:tblBorders>
            <w:top w:val="single" w:sz="4" w:space="0" w:color="auto"/>
          </w:tblBorders>
        </w:tblPrEx>
        <w:trPr>
          <w:gridBefore w:val="4"/>
          <w:wBefore w:w="12758" w:type="dxa"/>
          <w:trHeight w:val="100"/>
        </w:trPr>
        <w:tc>
          <w:tcPr>
            <w:tcW w:w="2410" w:type="dxa"/>
            <w:gridSpan w:val="2"/>
            <w:tcBorders>
              <w:top w:val="single" w:sz="4" w:space="0" w:color="auto"/>
            </w:tcBorders>
          </w:tcPr>
          <w:p w:rsidR="00E42DA8" w:rsidRPr="0018723D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:rsidR="00BC771B" w:rsidRPr="0018723D" w:rsidRDefault="00E12F27" w:rsidP="00837A4C">
      <w:pPr>
        <w:jc w:val="center"/>
        <w:rPr>
          <w:rFonts w:ascii="Garamond" w:eastAsia="Times New Roman" w:hAnsi="Garamond" w:cs="Times New Roman"/>
          <w:b/>
          <w:lang w:eastAsia="ar-SA"/>
        </w:rPr>
      </w:pPr>
      <w:r w:rsidRPr="0018723D">
        <w:rPr>
          <w:rFonts w:ascii="Garamond" w:eastAsia="Times New Roman" w:hAnsi="Garamond" w:cs="Times New Roman"/>
          <w:b/>
          <w:lang w:eastAsia="ar-SA"/>
        </w:rPr>
        <w:t>SZKOLENIA</w:t>
      </w:r>
    </w:p>
    <w:p w:rsidR="00BC771B" w:rsidRPr="0018723D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534"/>
        <w:gridCol w:w="7371"/>
        <w:gridCol w:w="2409"/>
        <w:gridCol w:w="2410"/>
        <w:gridCol w:w="2410"/>
      </w:tblGrid>
      <w:tr w:rsidR="00E42DA8" w:rsidRPr="0018723D" w:rsidTr="00E12F27">
        <w:tc>
          <w:tcPr>
            <w:tcW w:w="534" w:type="dxa"/>
            <w:vAlign w:val="center"/>
          </w:tcPr>
          <w:p w:rsidR="00E42DA8" w:rsidRPr="0018723D" w:rsidRDefault="00E42DA8" w:rsidP="00737B34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8723D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7371" w:type="dxa"/>
            <w:vAlign w:val="center"/>
          </w:tcPr>
          <w:p w:rsidR="00E42DA8" w:rsidRPr="0018723D" w:rsidRDefault="00E42DA8" w:rsidP="00737B34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8723D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2409" w:type="dxa"/>
            <w:vAlign w:val="center"/>
          </w:tcPr>
          <w:p w:rsidR="00E42DA8" w:rsidRPr="0018723D" w:rsidRDefault="00E42DA8" w:rsidP="00737B34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8723D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2410" w:type="dxa"/>
            <w:vAlign w:val="center"/>
          </w:tcPr>
          <w:p w:rsidR="00E42DA8" w:rsidRPr="0018723D" w:rsidRDefault="00E42DA8" w:rsidP="00737B34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18723D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2410" w:type="dxa"/>
          </w:tcPr>
          <w:p w:rsidR="00E42DA8" w:rsidRPr="0018723D" w:rsidRDefault="00E42DA8" w:rsidP="00737B34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18723D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18723D" w:rsidTr="00E12F27">
        <w:tc>
          <w:tcPr>
            <w:tcW w:w="534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866E3" w:rsidRPr="0018723D" w:rsidRDefault="00B866E3" w:rsidP="00793C59">
            <w:pPr>
              <w:snapToGrid w:val="0"/>
              <w:spacing w:line="288" w:lineRule="auto"/>
              <w:jc w:val="both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Uwaga - należy przewidzieć podstawowe szkolenia w trakcie dostawy i instalacji urządzenia oraz drugą serię szkoleń w trakcie uruchamiania pracowni (termin poda pisemnie Zamawiający z min. 2 tygodniowym wyprzedzeniem).</w:t>
            </w:r>
          </w:p>
          <w:p w:rsidR="00B866E3" w:rsidRPr="0018723D" w:rsidRDefault="00B866E3" w:rsidP="00793C59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Ponadto - obowiązek stałego wsparcia aplikacyjnego w początkowym (do 6  -</w:t>
            </w:r>
            <w:r w:rsidR="00E12F2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ciu</w:t>
            </w:r>
            <w:proofErr w:type="spellEnd"/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miesięcy po oddaniu </w:t>
            </w:r>
            <w:r w:rsidR="00E12F27"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pracowni</w:t>
            </w: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do eksploatacji) okresie pracy urządzeń (dodatkowe szkolenie, dodatkowa grupa osób, konsultacje, itp.)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18723D" w:rsidTr="00E12F27">
        <w:tc>
          <w:tcPr>
            <w:tcW w:w="534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866E3" w:rsidRPr="0018723D" w:rsidRDefault="00B866E3" w:rsidP="00793C59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(min. 2 osoby dla szkolenia podstawowego oraz min. 10 osób </w:t>
            </w:r>
            <w:r w:rsidRPr="0018723D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w trakcie uruchamiania pracowni</w:t>
            </w:r>
            <w:r w:rsidRPr="0018723D">
              <w:rPr>
                <w:rFonts w:ascii="Garamond" w:hAnsi="Garamond"/>
                <w:sz w:val="22"/>
                <w:szCs w:val="22"/>
              </w:rPr>
              <w:t xml:space="preserve"> - z możliwością podziału i szkolenia w mniejszych podgrupach) 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18723D" w:rsidTr="00E12F27">
        <w:tc>
          <w:tcPr>
            <w:tcW w:w="534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866E3" w:rsidRPr="0018723D" w:rsidRDefault="00B866E3" w:rsidP="00793C59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</w:rPr>
              <w:t xml:space="preserve">Szkolenia dla personelu technicznego (min. 2 osoby dla wszystkich etapów szkoleń) z zakresu podstawowej diagnostyki stanu technicznego i wykonywania podstawowych czynności konserwacyjnych, naprawczych i przeglądowych 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18723D" w:rsidTr="00E12F27">
        <w:tc>
          <w:tcPr>
            <w:tcW w:w="534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371" w:type="dxa"/>
            <w:vAlign w:val="center"/>
          </w:tcPr>
          <w:p w:rsidR="00B866E3" w:rsidRPr="0018723D" w:rsidRDefault="00B866E3" w:rsidP="00793C59">
            <w:pPr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</w:rPr>
              <w:t xml:space="preserve">Szkolenia dla informatyków (min. 1 osoba dla wszystkich etapów szkoleń) z zakresu podstawowej konfiguracji i diagnostyki elementów komunikacji sieciowej 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:rsidR="00BC771B" w:rsidRPr="0018723D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BC771B" w:rsidRPr="0018723D" w:rsidRDefault="00CE0BB7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18723D">
        <w:rPr>
          <w:rFonts w:ascii="Garamond" w:eastAsia="Times New Roman" w:hAnsi="Garamond" w:cs="Times New Roman"/>
          <w:b/>
          <w:lang w:eastAsia="ar-SA"/>
        </w:rPr>
        <w:t>Dokumentacja</w:t>
      </w:r>
    </w:p>
    <w:p w:rsidR="00BC771B" w:rsidRPr="0018723D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5134" w:type="dxa"/>
        <w:tblLook w:val="04A0" w:firstRow="1" w:lastRow="0" w:firstColumn="1" w:lastColumn="0" w:noHBand="0" w:noVBand="1"/>
      </w:tblPr>
      <w:tblGrid>
        <w:gridCol w:w="675"/>
        <w:gridCol w:w="7230"/>
        <w:gridCol w:w="2409"/>
        <w:gridCol w:w="2410"/>
        <w:gridCol w:w="2410"/>
      </w:tblGrid>
      <w:tr w:rsidR="00B866E3" w:rsidRPr="0018723D" w:rsidTr="00E12F27">
        <w:tc>
          <w:tcPr>
            <w:tcW w:w="675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</w:tcPr>
          <w:p w:rsidR="00B866E3" w:rsidRPr="0018723D" w:rsidRDefault="00B866E3" w:rsidP="00737B34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18723D" w:rsidTr="00E12F27">
        <w:tc>
          <w:tcPr>
            <w:tcW w:w="675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</w:tcPr>
          <w:p w:rsidR="00B866E3" w:rsidRPr="0018723D" w:rsidRDefault="00B866E3" w:rsidP="00737B3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18723D" w:rsidTr="00E12F27">
        <w:tc>
          <w:tcPr>
            <w:tcW w:w="675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B866E3" w:rsidRPr="0018723D" w:rsidRDefault="00B866E3" w:rsidP="00737B3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866E3" w:rsidRPr="0018723D" w:rsidRDefault="00B866E3" w:rsidP="00737B3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18723D" w:rsidTr="00E12F27">
        <w:tc>
          <w:tcPr>
            <w:tcW w:w="675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  <w:vAlign w:val="center"/>
          </w:tcPr>
          <w:p w:rsidR="00B866E3" w:rsidRPr="0018723D" w:rsidRDefault="00B866E3" w:rsidP="00737B3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18723D" w:rsidTr="00E12F27">
        <w:tc>
          <w:tcPr>
            <w:tcW w:w="675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</w:tcPr>
          <w:p w:rsidR="00B866E3" w:rsidRPr="0018723D" w:rsidRDefault="00B866E3" w:rsidP="00737B3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18723D" w:rsidTr="00E12F27">
        <w:tc>
          <w:tcPr>
            <w:tcW w:w="675" w:type="dxa"/>
          </w:tcPr>
          <w:p w:rsidR="00B866E3" w:rsidRPr="0018723D" w:rsidRDefault="00B866E3" w:rsidP="00275E43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7230" w:type="dxa"/>
          </w:tcPr>
          <w:p w:rsidR="00B866E3" w:rsidRPr="0018723D" w:rsidRDefault="00B866E3" w:rsidP="00737B3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B866E3" w:rsidRPr="0018723D" w:rsidRDefault="00B866E3" w:rsidP="00737B34">
            <w:pPr>
              <w:spacing w:line="288" w:lineRule="auto"/>
              <w:jc w:val="both"/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18723D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2409" w:type="dxa"/>
          </w:tcPr>
          <w:p w:rsidR="00B866E3" w:rsidRPr="0018723D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2410" w:type="dxa"/>
          </w:tcPr>
          <w:p w:rsidR="00B866E3" w:rsidRPr="0018723D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</w:tcPr>
          <w:p w:rsidR="00B866E3" w:rsidRPr="0018723D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18723D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:rsidR="00BC771B" w:rsidRPr="0018723D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CE0BB7" w:rsidRPr="0018723D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CE0BB7" w:rsidRPr="0018723D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:rsidR="00D15F1D" w:rsidRPr="0018723D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18723D" w:rsidSect="0018723D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495" w:rsidRDefault="00491495" w:rsidP="002B10C5">
      <w:pPr>
        <w:spacing w:after="0" w:line="240" w:lineRule="auto"/>
      </w:pPr>
      <w:r>
        <w:separator/>
      </w:r>
    </w:p>
  </w:endnote>
  <w:endnote w:type="continuationSeparator" w:id="0">
    <w:p w:rsidR="00491495" w:rsidRDefault="00491495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2D">
          <w:rPr>
            <w:noProof/>
          </w:rPr>
          <w:t>8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495" w:rsidRDefault="00491495" w:rsidP="002B10C5">
      <w:pPr>
        <w:spacing w:after="0" w:line="240" w:lineRule="auto"/>
      </w:pPr>
      <w:r>
        <w:separator/>
      </w:r>
    </w:p>
  </w:footnote>
  <w:footnote w:type="continuationSeparator" w:id="0">
    <w:p w:rsidR="00491495" w:rsidRDefault="00491495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067" w:rsidRDefault="00EF6067" w:rsidP="000800FB">
    <w:pPr>
      <w:pStyle w:val="Nagwek"/>
      <w:jc w:val="center"/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5FA37B5A" wp14:editId="1DC00217">
          <wp:simplePos x="0" y="0"/>
          <wp:positionH relativeFrom="column">
            <wp:posOffset>507365</wp:posOffset>
          </wp:positionH>
          <wp:positionV relativeFrom="paragraph">
            <wp:posOffset>-411480</wp:posOffset>
          </wp:positionV>
          <wp:extent cx="7578090" cy="86550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6067" w:rsidRDefault="00EF6067" w:rsidP="00EF6067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.21</w:t>
    </w:r>
    <w:r w:rsidRPr="007B77B0">
      <w:rPr>
        <w:rFonts w:ascii="Garamond" w:hAnsi="Garamond"/>
        <w:lang w:eastAsia="pl-PL"/>
      </w:rPr>
      <w:t xml:space="preserve">.2018.EP                                                                                                                                  </w:t>
    </w:r>
    <w:r>
      <w:rPr>
        <w:rFonts w:ascii="Garamond" w:hAnsi="Garamond"/>
        <w:lang w:eastAsia="pl-PL"/>
      </w:rPr>
      <w:t xml:space="preserve">                               </w:t>
    </w:r>
    <w:r w:rsidRPr="007B77B0">
      <w:rPr>
        <w:rFonts w:ascii="Garamond" w:hAnsi="Garamond"/>
        <w:lang w:eastAsia="pl-PL"/>
      </w:rPr>
      <w:t xml:space="preserve"> </w:t>
    </w:r>
    <w:r w:rsidRPr="00A352C6">
      <w:rPr>
        <w:rFonts w:ascii="Garamond" w:hAnsi="Garamond"/>
        <w:lang w:eastAsia="pl-PL"/>
      </w:rPr>
      <w:t>Załącznik nr 1a do specyfikacji</w:t>
    </w:r>
  </w:p>
  <w:p w:rsidR="004950AC" w:rsidRPr="00EF6067" w:rsidRDefault="00EF6067" w:rsidP="00EF6067">
    <w:pPr>
      <w:tabs>
        <w:tab w:val="center" w:pos="4536"/>
        <w:tab w:val="right" w:pos="14040"/>
      </w:tabs>
      <w:spacing w:after="0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51A15600"/>
    <w:multiLevelType w:val="hybridMultilevel"/>
    <w:tmpl w:val="26201C0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00EAE"/>
    <w:multiLevelType w:val="hybridMultilevel"/>
    <w:tmpl w:val="1A4AE69E"/>
    <w:lvl w:ilvl="0" w:tplc="CC0443B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37D1"/>
    <w:rsid w:val="0001385B"/>
    <w:rsid w:val="0005184F"/>
    <w:rsid w:val="00062621"/>
    <w:rsid w:val="000800FB"/>
    <w:rsid w:val="00082567"/>
    <w:rsid w:val="000872C6"/>
    <w:rsid w:val="00094947"/>
    <w:rsid w:val="000A01C5"/>
    <w:rsid w:val="000A19F0"/>
    <w:rsid w:val="000A42E2"/>
    <w:rsid w:val="000C38A6"/>
    <w:rsid w:val="000E296E"/>
    <w:rsid w:val="00106FA1"/>
    <w:rsid w:val="00153000"/>
    <w:rsid w:val="0018723D"/>
    <w:rsid w:val="00195D24"/>
    <w:rsid w:val="001A26B2"/>
    <w:rsid w:val="001C5AC0"/>
    <w:rsid w:val="001F741A"/>
    <w:rsid w:val="00224229"/>
    <w:rsid w:val="00226290"/>
    <w:rsid w:val="00226C7E"/>
    <w:rsid w:val="002418CF"/>
    <w:rsid w:val="00275E43"/>
    <w:rsid w:val="002B1075"/>
    <w:rsid w:val="002B10C5"/>
    <w:rsid w:val="002E7641"/>
    <w:rsid w:val="0031723C"/>
    <w:rsid w:val="0035006A"/>
    <w:rsid w:val="003502EB"/>
    <w:rsid w:val="003816D4"/>
    <w:rsid w:val="00386BDE"/>
    <w:rsid w:val="003870C0"/>
    <w:rsid w:val="003E5374"/>
    <w:rsid w:val="00420195"/>
    <w:rsid w:val="00431206"/>
    <w:rsid w:val="00444EC2"/>
    <w:rsid w:val="004537A6"/>
    <w:rsid w:val="00482C2F"/>
    <w:rsid w:val="00491495"/>
    <w:rsid w:val="004950AC"/>
    <w:rsid w:val="004A3639"/>
    <w:rsid w:val="004A4815"/>
    <w:rsid w:val="004B5E68"/>
    <w:rsid w:val="00505CFB"/>
    <w:rsid w:val="0052480E"/>
    <w:rsid w:val="00527F67"/>
    <w:rsid w:val="0055762C"/>
    <w:rsid w:val="005838E5"/>
    <w:rsid w:val="00595A76"/>
    <w:rsid w:val="005A233B"/>
    <w:rsid w:val="005C2DEE"/>
    <w:rsid w:val="005C6D9B"/>
    <w:rsid w:val="00617EC5"/>
    <w:rsid w:val="006309BF"/>
    <w:rsid w:val="00682BFE"/>
    <w:rsid w:val="006C132C"/>
    <w:rsid w:val="006E09BB"/>
    <w:rsid w:val="00716F0E"/>
    <w:rsid w:val="007475D7"/>
    <w:rsid w:val="00793C59"/>
    <w:rsid w:val="007B4693"/>
    <w:rsid w:val="007D2398"/>
    <w:rsid w:val="008028E8"/>
    <w:rsid w:val="00827157"/>
    <w:rsid w:val="00837A4C"/>
    <w:rsid w:val="00877102"/>
    <w:rsid w:val="008E4B96"/>
    <w:rsid w:val="00907DC8"/>
    <w:rsid w:val="009319E1"/>
    <w:rsid w:val="0093379E"/>
    <w:rsid w:val="00966E35"/>
    <w:rsid w:val="00980A6D"/>
    <w:rsid w:val="00984712"/>
    <w:rsid w:val="009B0ED9"/>
    <w:rsid w:val="009B600A"/>
    <w:rsid w:val="00A37445"/>
    <w:rsid w:val="00A42F7A"/>
    <w:rsid w:val="00A8133F"/>
    <w:rsid w:val="00A827FC"/>
    <w:rsid w:val="00A83419"/>
    <w:rsid w:val="00AA4EE4"/>
    <w:rsid w:val="00AF7709"/>
    <w:rsid w:val="00B33D13"/>
    <w:rsid w:val="00B6162D"/>
    <w:rsid w:val="00B72884"/>
    <w:rsid w:val="00B866E3"/>
    <w:rsid w:val="00B935A3"/>
    <w:rsid w:val="00BC771B"/>
    <w:rsid w:val="00BD6659"/>
    <w:rsid w:val="00BE7B7B"/>
    <w:rsid w:val="00C10E44"/>
    <w:rsid w:val="00C2669F"/>
    <w:rsid w:val="00C62F9D"/>
    <w:rsid w:val="00C64C0B"/>
    <w:rsid w:val="00C75220"/>
    <w:rsid w:val="00C83FFD"/>
    <w:rsid w:val="00CD64E3"/>
    <w:rsid w:val="00CE0BB7"/>
    <w:rsid w:val="00CF3443"/>
    <w:rsid w:val="00D15F1D"/>
    <w:rsid w:val="00D73EB9"/>
    <w:rsid w:val="00D93C7F"/>
    <w:rsid w:val="00D97F42"/>
    <w:rsid w:val="00DA12A3"/>
    <w:rsid w:val="00DA1FA2"/>
    <w:rsid w:val="00DC7F16"/>
    <w:rsid w:val="00DF3D22"/>
    <w:rsid w:val="00E12F27"/>
    <w:rsid w:val="00E350B5"/>
    <w:rsid w:val="00E42DA8"/>
    <w:rsid w:val="00E46501"/>
    <w:rsid w:val="00E50DAF"/>
    <w:rsid w:val="00EA6DEC"/>
    <w:rsid w:val="00EB1B84"/>
    <w:rsid w:val="00EC18E8"/>
    <w:rsid w:val="00EC6DB9"/>
    <w:rsid w:val="00EC7C3F"/>
    <w:rsid w:val="00EF0AFB"/>
    <w:rsid w:val="00EF6067"/>
    <w:rsid w:val="00F34EF1"/>
    <w:rsid w:val="00F65B8E"/>
    <w:rsid w:val="00FA2BC1"/>
    <w:rsid w:val="00FA47B5"/>
    <w:rsid w:val="00FA72BE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2007B"/>
  <w15:docId w15:val="{0BB4D4F9-A53B-42D8-8F0B-4F680FD5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0CA9-B702-4D24-B796-566E6C37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1453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7</cp:revision>
  <cp:lastPrinted>2018-01-24T09:46:00Z</cp:lastPrinted>
  <dcterms:created xsi:type="dcterms:W3CDTF">2018-07-13T08:13:00Z</dcterms:created>
  <dcterms:modified xsi:type="dcterms:W3CDTF">2018-08-06T07:38:00Z</dcterms:modified>
</cp:coreProperties>
</file>