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8C" w:rsidRDefault="002A368C" w:rsidP="002A368C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Opis przedmiotu zamówienia</w:t>
      </w:r>
    </w:p>
    <w:p w:rsidR="002A368C" w:rsidRDefault="002A368C">
      <w:pPr>
        <w:rPr>
          <w:b/>
          <w:bCs/>
          <w:sz w:val="24"/>
          <w:szCs w:val="24"/>
          <w:lang w:val="pl-PL"/>
        </w:rPr>
      </w:pPr>
    </w:p>
    <w:p w:rsidR="00C2699E" w:rsidRPr="00C2699E" w:rsidRDefault="00C2699E" w:rsidP="00E03D2F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Pakiet oprogramowania do przeglądania, analizy i przetwarzania danych medycznych z funkcjami do dynamicznej analizy obrazu i przetwarzania/wyświetlania danych obrazowania dyfuzyjnego rezonansu magnetycznego, </w:t>
      </w:r>
      <w:r w:rsidRPr="00C2699E">
        <w:rPr>
          <w:b/>
          <w:bCs/>
          <w:sz w:val="24"/>
          <w:szCs w:val="24"/>
          <w:lang w:val="pl-PL"/>
        </w:rPr>
        <w:t xml:space="preserve">analizy danych </w:t>
      </w:r>
      <w:proofErr w:type="spellStart"/>
      <w:r w:rsidRPr="00C2699E">
        <w:rPr>
          <w:b/>
          <w:bCs/>
          <w:sz w:val="24"/>
          <w:szCs w:val="24"/>
          <w:lang w:val="pl-PL"/>
        </w:rPr>
        <w:t>bezkont</w:t>
      </w:r>
      <w:r w:rsidR="00264B33">
        <w:rPr>
          <w:b/>
          <w:bCs/>
          <w:sz w:val="24"/>
          <w:szCs w:val="24"/>
          <w:lang w:val="pl-PL"/>
        </w:rPr>
        <w:t>r</w:t>
      </w:r>
      <w:bookmarkStart w:id="0" w:name="_GoBack"/>
      <w:bookmarkEnd w:id="0"/>
      <w:r w:rsidRPr="00C2699E">
        <w:rPr>
          <w:b/>
          <w:bCs/>
          <w:sz w:val="24"/>
          <w:szCs w:val="24"/>
          <w:lang w:val="pl-PL"/>
        </w:rPr>
        <w:t>astowej</w:t>
      </w:r>
      <w:proofErr w:type="spellEnd"/>
      <w:r w:rsidRPr="00C2699E">
        <w:rPr>
          <w:b/>
          <w:bCs/>
          <w:sz w:val="24"/>
          <w:szCs w:val="24"/>
          <w:lang w:val="pl-PL"/>
        </w:rPr>
        <w:t xml:space="preserve"> tomografii komputerowej mózgu, perfuzji TK i MR oraz angiografii TK mózgu.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6121"/>
        <w:gridCol w:w="1207"/>
        <w:gridCol w:w="1316"/>
      </w:tblGrid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b/>
                <w:lang w:val="pl-PL"/>
              </w:rPr>
            </w:pPr>
            <w:r w:rsidRPr="00A81F3F">
              <w:rPr>
                <w:b/>
                <w:lang w:val="pl-PL"/>
              </w:rPr>
              <w:t>Nr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b/>
                <w:lang w:val="pl-PL"/>
              </w:rPr>
            </w:pPr>
            <w:r w:rsidRPr="00A81F3F">
              <w:rPr>
                <w:b/>
                <w:lang w:val="pl-PL"/>
              </w:rPr>
              <w:t>Opis parametru / funkcji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E03D2F" w:rsidP="00735C1F">
            <w:pPr>
              <w:spacing w:after="0" w:line="240" w:lineRule="auto"/>
              <w:contextualSpacing/>
              <w:rPr>
                <w:b/>
                <w:lang w:val="pl-PL"/>
              </w:rPr>
            </w:pPr>
            <w:r>
              <w:rPr>
                <w:b/>
                <w:lang w:val="pl-PL"/>
              </w:rPr>
              <w:t>Parametr wymagany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E03D2F" w:rsidP="00735C1F">
            <w:pPr>
              <w:spacing w:after="0" w:line="240" w:lineRule="auto"/>
              <w:contextualSpacing/>
              <w:rPr>
                <w:b/>
                <w:lang w:val="pl-PL"/>
              </w:rPr>
            </w:pPr>
            <w:r>
              <w:rPr>
                <w:b/>
                <w:lang w:val="pl-PL"/>
              </w:rPr>
              <w:t>Parametr oferowany*</w:t>
            </w: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lang w:val="pl-PL"/>
              </w:rPr>
            </w:pPr>
            <w:r w:rsidRPr="00A81F3F">
              <w:rPr>
                <w:lang w:val="pl-PL"/>
              </w:rPr>
              <w:t>1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CF72E1">
            <w:pPr>
              <w:spacing w:after="0" w:line="240" w:lineRule="auto"/>
              <w:contextualSpacing/>
              <w:rPr>
                <w:lang w:val="pl-PL"/>
              </w:rPr>
            </w:pPr>
            <w:r w:rsidRPr="00A81F3F">
              <w:rPr>
                <w:lang w:val="pl-PL"/>
              </w:rPr>
              <w:t xml:space="preserve">Oprogramowanie </w:t>
            </w:r>
            <w:r w:rsidR="00CF72E1">
              <w:rPr>
                <w:lang w:val="pl-PL"/>
              </w:rPr>
              <w:t xml:space="preserve">zostanie dostarczone wraz z serwerem umożliwiającym jego </w:t>
            </w:r>
            <w:r w:rsidR="00544FEE">
              <w:rPr>
                <w:lang w:val="pl-PL"/>
              </w:rPr>
              <w:t xml:space="preserve">sprawne </w:t>
            </w:r>
            <w:r w:rsidR="00CF72E1">
              <w:rPr>
                <w:lang w:val="pl-PL"/>
              </w:rPr>
              <w:t>działanie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</w:t>
            </w:r>
            <w:r w:rsidR="00AC28D4" w:rsidRPr="00A81F3F">
              <w:rPr>
                <w:lang w:val="pl-PL"/>
              </w:rPr>
              <w:t>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CF72E1" w:rsidRPr="00A81F3F" w:rsidTr="008D1631">
        <w:tc>
          <w:tcPr>
            <w:tcW w:w="592" w:type="dxa"/>
            <w:shd w:val="clear" w:color="auto" w:fill="auto"/>
            <w:vAlign w:val="center"/>
          </w:tcPr>
          <w:p w:rsidR="00CF72E1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CF72E1" w:rsidRDefault="00CF72E1" w:rsidP="00CF72E1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Minimalne wymogi serwera:</w:t>
            </w:r>
            <w:r>
              <w:rPr>
                <w:lang w:val="pl-PL"/>
              </w:rPr>
              <w:br/>
              <w:t xml:space="preserve">- możliwość montażu w szafie </w:t>
            </w:r>
            <w:proofErr w:type="spellStart"/>
            <w:r>
              <w:rPr>
                <w:lang w:val="pl-PL"/>
              </w:rPr>
              <w:t>Rack</w:t>
            </w:r>
            <w:proofErr w:type="spellEnd"/>
            <w:r>
              <w:rPr>
                <w:lang w:val="pl-PL"/>
              </w:rPr>
              <w:t xml:space="preserve"> 19”</w:t>
            </w:r>
            <w:r>
              <w:rPr>
                <w:lang w:val="pl-PL"/>
              </w:rPr>
              <w:br/>
              <w:t xml:space="preserve">- rozmiar nie większy niż </w:t>
            </w:r>
            <w:r w:rsidR="00B5064D">
              <w:rPr>
                <w:lang w:val="pl-PL"/>
              </w:rPr>
              <w:t>2</w:t>
            </w:r>
            <w:r>
              <w:rPr>
                <w:lang w:val="pl-PL"/>
              </w:rPr>
              <w:t>U</w:t>
            </w:r>
            <w:r>
              <w:rPr>
                <w:lang w:val="pl-PL"/>
              </w:rPr>
              <w:br/>
              <w:t>- co najmniej dwa redundantne zasilacze</w:t>
            </w:r>
          </w:p>
          <w:p w:rsidR="00DB1BF8" w:rsidRDefault="00CF72E1" w:rsidP="00CF72E1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- co najmniej dwa interfejsy sieciowe </w:t>
            </w:r>
            <w:r w:rsidR="00B5064D">
              <w:rPr>
                <w:lang w:val="pl-PL"/>
              </w:rPr>
              <w:t>o przepustowości 1GBit/s</w:t>
            </w:r>
          </w:p>
          <w:p w:rsidR="00DB1BF8" w:rsidRDefault="00DB1BF8" w:rsidP="00CF72E1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- możliwość sterowania przez sieć w zakresie: włączanie, wyłączanie, raport stanu poprawności działania komponentów, podgląd zdalny konsoli</w:t>
            </w:r>
          </w:p>
          <w:p w:rsidR="00CF72E1" w:rsidRPr="00A81F3F" w:rsidRDefault="00CF72E1" w:rsidP="00CF72E1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- system odporny na awarię </w:t>
            </w:r>
            <w:r w:rsidR="00DB1BF8">
              <w:rPr>
                <w:lang w:val="pl-PL"/>
              </w:rPr>
              <w:t xml:space="preserve">co najmniej </w:t>
            </w:r>
            <w:r>
              <w:rPr>
                <w:lang w:val="pl-PL"/>
              </w:rPr>
              <w:t>jednego dysku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F72E1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F72E1" w:rsidRPr="00A81F3F" w:rsidRDefault="00CF72E1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CF72E1" w:rsidRPr="00761758" w:rsidTr="008D1631">
        <w:tc>
          <w:tcPr>
            <w:tcW w:w="592" w:type="dxa"/>
            <w:shd w:val="clear" w:color="auto" w:fill="auto"/>
            <w:vAlign w:val="center"/>
          </w:tcPr>
          <w:p w:rsidR="00CF72E1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CF72E1" w:rsidRDefault="00CF72E1" w:rsidP="00CF72E1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Oprogramowanie zostani</w:t>
            </w:r>
            <w:r w:rsidR="000F5587">
              <w:rPr>
                <w:lang w:val="pl-PL"/>
              </w:rPr>
              <w:t>e zainstalowane w formie maszyn wirtualnych</w:t>
            </w:r>
            <w:r>
              <w:rPr>
                <w:lang w:val="pl-PL"/>
              </w:rPr>
              <w:t xml:space="preserve"> w środowisku Vmware w wersji umożliwiającej podłączenie do </w:t>
            </w:r>
            <w:proofErr w:type="spellStart"/>
            <w:r>
              <w:rPr>
                <w:lang w:val="pl-PL"/>
              </w:rPr>
              <w:t>vCenter</w:t>
            </w:r>
            <w:proofErr w:type="spellEnd"/>
            <w:r>
              <w:rPr>
                <w:lang w:val="pl-PL"/>
              </w:rPr>
              <w:t xml:space="preserve"> w wersji 6.5 posiadanej przez zamawiającego. Wykonawca dostarczy licencj</w:t>
            </w:r>
            <w:r w:rsidR="000F5587">
              <w:rPr>
                <w:lang w:val="pl-PL"/>
              </w:rPr>
              <w:t>e</w:t>
            </w:r>
            <w:r>
              <w:rPr>
                <w:lang w:val="pl-PL"/>
              </w:rPr>
              <w:t xml:space="preserve"> na oprogramowanie </w:t>
            </w:r>
            <w:proofErr w:type="spellStart"/>
            <w:r w:rsidR="00B5064D">
              <w:rPr>
                <w:lang w:val="pl-PL"/>
              </w:rPr>
              <w:t>wi</w:t>
            </w:r>
            <w:r w:rsidR="00DB1BF8">
              <w:rPr>
                <w:lang w:val="pl-PL"/>
              </w:rPr>
              <w:t>r</w:t>
            </w:r>
            <w:r w:rsidR="00B5064D">
              <w:rPr>
                <w:lang w:val="pl-PL"/>
              </w:rPr>
              <w:t>t</w:t>
            </w:r>
            <w:r w:rsidR="000F5587">
              <w:rPr>
                <w:lang w:val="pl-PL"/>
              </w:rPr>
              <w:t>u</w:t>
            </w:r>
            <w:r w:rsidR="00B5064D">
              <w:rPr>
                <w:lang w:val="pl-PL"/>
              </w:rPr>
              <w:t>alizacyjne</w:t>
            </w:r>
            <w:proofErr w:type="spellEnd"/>
            <w:r>
              <w:rPr>
                <w:lang w:val="pl-PL"/>
              </w:rPr>
              <w:t xml:space="preserve"> w wersji co najmniej Standard</w:t>
            </w:r>
            <w:r w:rsidR="00B5064D">
              <w:rPr>
                <w:lang w:val="pl-PL"/>
              </w:rPr>
              <w:t xml:space="preserve"> umożliwiające migrację oprogramowania na inną platformę sprzętową poprzez mechanizmy </w:t>
            </w:r>
            <w:proofErr w:type="spellStart"/>
            <w:r w:rsidR="00B5064D">
              <w:rPr>
                <w:lang w:val="pl-PL"/>
              </w:rPr>
              <w:t>vMotion</w:t>
            </w:r>
            <w:proofErr w:type="spellEnd"/>
            <w:r w:rsidR="00B5064D">
              <w:rPr>
                <w:lang w:val="pl-PL"/>
              </w:rPr>
              <w:t xml:space="preserve"> i Storage </w:t>
            </w:r>
            <w:proofErr w:type="spellStart"/>
            <w:r w:rsidR="00B5064D">
              <w:rPr>
                <w:lang w:val="pl-PL"/>
              </w:rPr>
              <w:t>vMotion</w:t>
            </w:r>
            <w:proofErr w:type="spellEnd"/>
            <w:r>
              <w:rPr>
                <w:lang w:val="pl-PL"/>
              </w:rPr>
              <w:t>.</w:t>
            </w:r>
          </w:p>
          <w:p w:rsidR="008D1631" w:rsidRDefault="008D1631" w:rsidP="008D1631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Zasoby pamięciowe serwera </w:t>
            </w:r>
            <w:r w:rsidR="00DB1BF8">
              <w:rPr>
                <w:lang w:val="pl-PL"/>
              </w:rPr>
              <w:t>RAM oraz pamięć masowa będą uwzględniać wolne rezerwy w wysokości co najmniej 30% względem wielkości wymaganych przez oprogramowanie.</w:t>
            </w:r>
          </w:p>
          <w:p w:rsidR="00761758" w:rsidRDefault="00761758" w:rsidP="00761758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Wykonawca dostarczy licencje umożliwiające wykonywanie kopii bezpieczeństwa dost</w:t>
            </w:r>
            <w:r w:rsidR="000F5587">
              <w:rPr>
                <w:lang w:val="pl-PL"/>
              </w:rPr>
              <w:t>a</w:t>
            </w:r>
            <w:r>
              <w:rPr>
                <w:lang w:val="pl-PL"/>
              </w:rPr>
              <w:t xml:space="preserve">rczonego oprogramowania w środowisku </w:t>
            </w:r>
            <w:proofErr w:type="spellStart"/>
            <w:r>
              <w:rPr>
                <w:lang w:val="pl-PL"/>
              </w:rPr>
              <w:t>Veeam</w:t>
            </w:r>
            <w:proofErr w:type="spellEnd"/>
            <w:r>
              <w:rPr>
                <w:lang w:val="pl-PL"/>
              </w:rPr>
              <w:t xml:space="preserve"> Enterprise Edition posiadanym przez Zamawiającego.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CF72E1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CF72E1" w:rsidRPr="00A81F3F" w:rsidRDefault="00CF72E1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DB1BF8" w:rsidRPr="00A81F3F" w:rsidTr="008D1631">
        <w:tc>
          <w:tcPr>
            <w:tcW w:w="592" w:type="dxa"/>
            <w:shd w:val="clear" w:color="auto" w:fill="auto"/>
            <w:vAlign w:val="center"/>
          </w:tcPr>
          <w:p w:rsidR="00DB1BF8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DB1BF8" w:rsidRDefault="00DB1BF8" w:rsidP="00CF72E1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 xml:space="preserve">Parametry dotyczące szczegółowej konfiguracji </w:t>
            </w:r>
            <w:r w:rsidR="00C638FB">
              <w:rPr>
                <w:lang w:val="pl-PL"/>
              </w:rPr>
              <w:t xml:space="preserve">sieciowej, </w:t>
            </w:r>
            <w:r>
              <w:rPr>
                <w:lang w:val="pl-PL"/>
              </w:rPr>
              <w:t xml:space="preserve">w szczególności adresacja IP, nazwy AE </w:t>
            </w:r>
            <w:proofErr w:type="spellStart"/>
            <w:r>
              <w:rPr>
                <w:lang w:val="pl-PL"/>
              </w:rPr>
              <w:t>Title</w:t>
            </w:r>
            <w:proofErr w:type="spellEnd"/>
            <w:r>
              <w:rPr>
                <w:lang w:val="pl-PL"/>
              </w:rPr>
              <w:t xml:space="preserve">, Numery VLAN zostaną wskazane przez Zamawiającego po wcześniejszym przedstawieniu zapotrzebowania przez </w:t>
            </w:r>
            <w:r w:rsidR="00C638FB">
              <w:rPr>
                <w:lang w:val="pl-PL"/>
              </w:rPr>
              <w:t>Wykonawcę</w:t>
            </w:r>
            <w:r>
              <w:rPr>
                <w:lang w:val="pl-PL"/>
              </w:rPr>
              <w:t>.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DB1BF8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B1BF8" w:rsidRPr="00A81F3F" w:rsidRDefault="00DB1BF8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AC28D4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Pozyskiwanie danych i obrazów z urządzeń pracujących w systemie DICOM</w:t>
            </w:r>
            <w:r>
              <w:rPr>
                <w:lang w:val="pl-PL"/>
              </w:rPr>
              <w:t xml:space="preserve"> posiadanych przez zamawiającego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</w:t>
            </w:r>
            <w:r w:rsidR="00AC28D4" w:rsidRPr="00A81F3F">
              <w:rPr>
                <w:lang w:val="pl-PL"/>
              </w:rPr>
              <w:t>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 xml:space="preserve">Zapewnia przetwarzanie danych: zestawy danych perfuzji CT, MR, dyfuzji MR z możliwością obliczenia półilościowego (względny przepływ krwi, objętość, średni czas przejścia, czas opóźnienia tętnica-tkanka </w:t>
            </w:r>
            <w:proofErr w:type="spellStart"/>
            <w:r w:rsidRPr="00A81F3F">
              <w:rPr>
                <w:i/>
                <w:iCs/>
                <w:lang w:val="pl-PL"/>
              </w:rPr>
              <w:t>Tmax</w:t>
            </w:r>
            <w:proofErr w:type="spellEnd"/>
            <w:r w:rsidRPr="00A81F3F">
              <w:rPr>
                <w:lang w:val="pl-PL"/>
              </w:rPr>
              <w:t>), parametrów ilościowych (</w:t>
            </w:r>
            <w:proofErr w:type="spellStart"/>
            <w:r w:rsidRPr="00A81F3F">
              <w:rPr>
                <w:lang w:val="pl-PL"/>
              </w:rPr>
              <w:t>wpółczynnik</w:t>
            </w:r>
            <w:proofErr w:type="spellEnd"/>
            <w:r w:rsidRPr="00A81F3F">
              <w:rPr>
                <w:lang w:val="pl-PL"/>
              </w:rPr>
              <w:t xml:space="preserve"> dyfuzji pozornej) i objętości obliczeniowych tkanki o parametrach w określonych zakresach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lang w:val="pl-PL"/>
              </w:rPr>
            </w:pPr>
            <w:r w:rsidRPr="00A81F3F">
              <w:rPr>
                <w:lang w:val="pl-PL"/>
              </w:rPr>
              <w:t xml:space="preserve">Zapewnia przetwarzanie danych: zestawy danych angiografii CT, w których system zapewnia poprzeczne, </w:t>
            </w:r>
            <w:proofErr w:type="spellStart"/>
            <w:r w:rsidRPr="00A81F3F">
              <w:rPr>
                <w:lang w:val="pl-PL"/>
              </w:rPr>
              <w:t>koronalne</w:t>
            </w:r>
            <w:proofErr w:type="spellEnd"/>
            <w:r w:rsidRPr="00A81F3F">
              <w:rPr>
                <w:lang w:val="pl-PL"/>
              </w:rPr>
              <w:t xml:space="preserve"> i strzałkowe projekcje wewnątrzczaszkowego układu naczyniowego, a także hemisferyczne porównanie gęstości naczyń krwionośnych w danych projekcjach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</w:t>
            </w:r>
            <w:r w:rsidR="00AC28D4" w:rsidRPr="00A81F3F">
              <w:rPr>
                <w:lang w:val="pl-PL"/>
              </w:rPr>
              <w:t>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lastRenderedPageBreak/>
              <w:t>8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 xml:space="preserve">Zapewnia przetwarzanie danych: zestawy danych CT bez kontrastu (natywne), gdzie system zapewnia automatyczną ocenę zgodnie ze skalą umożliwiającą oszacowanie rozległości i zaawansowania strefy niedokrwienia (skale: ASPECTS, Alberta </w:t>
            </w:r>
            <w:proofErr w:type="spellStart"/>
            <w:r w:rsidRPr="00A81F3F">
              <w:rPr>
                <w:lang w:val="pl-PL"/>
              </w:rPr>
              <w:t>Stroke</w:t>
            </w:r>
            <w:proofErr w:type="spellEnd"/>
            <w:r w:rsidRPr="00A81F3F">
              <w:rPr>
                <w:lang w:val="pl-PL"/>
              </w:rPr>
              <w:t xml:space="preserve"> Program </w:t>
            </w:r>
            <w:proofErr w:type="spellStart"/>
            <w:r w:rsidRPr="00A81F3F">
              <w:rPr>
                <w:lang w:val="pl-PL"/>
              </w:rPr>
              <w:t>Early</w:t>
            </w:r>
            <w:proofErr w:type="spellEnd"/>
            <w:r w:rsidRPr="00A81F3F">
              <w:rPr>
                <w:lang w:val="pl-PL"/>
              </w:rPr>
              <w:t xml:space="preserve"> CT </w:t>
            </w:r>
            <w:proofErr w:type="spellStart"/>
            <w:r w:rsidRPr="00A81F3F">
              <w:rPr>
                <w:lang w:val="pl-PL"/>
              </w:rPr>
              <w:t>Score</w:t>
            </w:r>
            <w:proofErr w:type="spellEnd"/>
            <w:r w:rsidRPr="00A81F3F">
              <w:rPr>
                <w:lang w:val="pl-PL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</w:t>
            </w:r>
            <w:r w:rsidR="00AC28D4" w:rsidRPr="00A81F3F">
              <w:rPr>
                <w:lang w:val="pl-PL"/>
              </w:rPr>
              <w:t>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9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 xml:space="preserve">Wspólna platforma oprogramowania, pełen zakres przetwarzania i analizy danych dla wszystkich oferowanych danych (dyfuzja i perfuzja MR głowy, </w:t>
            </w:r>
            <w:proofErr w:type="spellStart"/>
            <w:r w:rsidRPr="00A81F3F">
              <w:rPr>
                <w:lang w:val="pl-PL"/>
              </w:rPr>
              <w:t>bezkontastowe</w:t>
            </w:r>
            <w:proofErr w:type="spellEnd"/>
            <w:r w:rsidRPr="00A81F3F">
              <w:rPr>
                <w:lang w:val="pl-PL"/>
              </w:rPr>
              <w:t xml:space="preserve"> </w:t>
            </w:r>
            <w:proofErr w:type="spellStart"/>
            <w:r w:rsidRPr="00A81F3F">
              <w:rPr>
                <w:lang w:val="pl-PL"/>
              </w:rPr>
              <w:t>badnie</w:t>
            </w:r>
            <w:proofErr w:type="spellEnd"/>
            <w:r w:rsidRPr="00A81F3F">
              <w:rPr>
                <w:lang w:val="pl-PL"/>
              </w:rPr>
              <w:t xml:space="preserve"> CT głowy, perfuzja i angiografia CT głowy) oraz wspólny interfejs graficzny wyświetlania i zachowywania danych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</w:t>
            </w:r>
            <w:r w:rsidR="00AC28D4" w:rsidRPr="00A81F3F">
              <w:rPr>
                <w:lang w:val="pl-PL"/>
              </w:rPr>
              <w:t>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C638FB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Dane wynikowe w postaci plików DICOM wysyłanych do systemu archiwizacji PACS (lub stacji roboczych w posiadaniu użytkownika) oraz skompresowane</w:t>
            </w:r>
            <w:r w:rsidR="00C638FB">
              <w:rPr>
                <w:lang w:val="pl-PL"/>
              </w:rPr>
              <w:t xml:space="preserve"> i </w:t>
            </w:r>
            <w:r w:rsidRPr="00A81F3F">
              <w:rPr>
                <w:lang w:val="pl-PL"/>
              </w:rPr>
              <w:t>zanonimizowane (zgodne z RODO) wyniki wysyłane na adresy poczty email wskazane przez użytkownika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Potwierdzone parametry dla następujących zakresów:</w:t>
            </w:r>
          </w:p>
          <w:p w:rsidR="00AC28D4" w:rsidRPr="00A81F3F" w:rsidRDefault="00AC28D4" w:rsidP="00AC28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val="de-DE"/>
              </w:rPr>
            </w:pPr>
            <w:r w:rsidRPr="00A81F3F">
              <w:rPr>
                <w:lang w:val="de-DE"/>
              </w:rPr>
              <w:t>CBF: 0ml/100g/min – 88ml/10g/min</w:t>
            </w:r>
          </w:p>
          <w:p w:rsidR="00AC28D4" w:rsidRPr="00A81F3F" w:rsidRDefault="00AC28D4" w:rsidP="00AC28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val="de-DE"/>
              </w:rPr>
            </w:pPr>
            <w:r w:rsidRPr="00A81F3F">
              <w:rPr>
                <w:lang w:val="de-DE"/>
              </w:rPr>
              <w:t>CBV: 0% - 5%</w:t>
            </w:r>
          </w:p>
          <w:p w:rsidR="00AC28D4" w:rsidRPr="00A81F3F" w:rsidRDefault="00AC28D4" w:rsidP="00AC28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val="de-DE"/>
              </w:rPr>
            </w:pPr>
            <w:r w:rsidRPr="00A81F3F">
              <w:rPr>
                <w:lang w:val="de-DE"/>
              </w:rPr>
              <w:t>MTT: 3s - 12s</w:t>
            </w:r>
          </w:p>
          <w:p w:rsidR="00AC28D4" w:rsidRPr="00A81F3F" w:rsidRDefault="00AC28D4" w:rsidP="00AC28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lang w:val="de-DE"/>
              </w:rPr>
            </w:pPr>
            <w:proofErr w:type="spellStart"/>
            <w:r w:rsidRPr="00A81F3F">
              <w:rPr>
                <w:lang w:val="de-DE"/>
              </w:rPr>
              <w:t>Tmax</w:t>
            </w:r>
            <w:proofErr w:type="spellEnd"/>
            <w:r w:rsidRPr="00A81F3F">
              <w:rPr>
                <w:lang w:val="de-DE"/>
              </w:rPr>
              <w:t>: 0s – 12s</w:t>
            </w:r>
          </w:p>
          <w:p w:rsidR="00AC28D4" w:rsidRPr="009437BA" w:rsidRDefault="00AC28D4" w:rsidP="00AC28D4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9D2219">
              <w:t>Trace ADC: 250x10-6mm</w:t>
            </w:r>
            <w:r w:rsidRPr="00A81F3F">
              <w:rPr>
                <w:vertAlign w:val="superscript"/>
              </w:rPr>
              <w:t>2</w:t>
            </w:r>
            <w:r w:rsidRPr="009D2219">
              <w:t xml:space="preserve">/s </w:t>
            </w:r>
            <w:r>
              <w:t>– 2000x10-6mm</w:t>
            </w:r>
            <w:r w:rsidRPr="00A81F3F">
              <w:rPr>
                <w:vertAlign w:val="superscript"/>
              </w:rPr>
              <w:t>2</w:t>
            </w:r>
            <w:r>
              <w:t>/s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12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Kompatybilne z wszystkimi producentami oraz modelami urządzeń CT              i MR obecnymi na rynku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highlight w:val="yellow"/>
                <w:lang w:val="pl-PL"/>
              </w:rPr>
            </w:pPr>
            <w:r w:rsidRPr="00A81F3F">
              <w:rPr>
                <w:lang w:val="pl-PL"/>
              </w:rPr>
              <w:t>Automatyczne przetwarzanie i analiza danych bez konieczności ingerencji użytkownika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14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Automatyczna kontrola jakości danych – w szczególności ruchów pacjenta, krzywej funkcji napływu tętniczego i krzywej wypływu żylnego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15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Brak konieczności instalacji dodatkowej stacji roboczej</w:t>
            </w:r>
          </w:p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Dokumentacja w języku polskim</w:t>
            </w:r>
          </w:p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Wsparcie techniczne w języku polskim 24h/7dni</w:t>
            </w:r>
          </w:p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Okres trwania licencji oprogramowania (w tym serwis, wsparcie techniczne, pomoc przedstawiciela): 3 lata od podpisania Protokołu odbioru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Dowiedziona skuteczność kliniczna potwierdzona w przeprowadzonych randomizowanych badaniach klinicznych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Default="00AC28D4" w:rsidP="00735C1F">
            <w:pPr>
              <w:spacing w:after="0" w:line="240" w:lineRule="auto"/>
              <w:contextualSpacing/>
              <w:jc w:val="center"/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  <w:tr w:rsidR="00AC28D4" w:rsidRPr="00A81F3F" w:rsidTr="008D1631">
        <w:tc>
          <w:tcPr>
            <w:tcW w:w="592" w:type="dxa"/>
            <w:shd w:val="clear" w:color="auto" w:fill="auto"/>
            <w:vAlign w:val="center"/>
          </w:tcPr>
          <w:p w:rsidR="00AC28D4" w:rsidRPr="00A81F3F" w:rsidRDefault="00C638FB" w:rsidP="00735C1F">
            <w:pPr>
              <w:spacing w:after="0" w:line="240" w:lineRule="auto"/>
              <w:contextualSpacing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C28D4" w:rsidRPr="00A81F3F" w:rsidRDefault="00AC28D4" w:rsidP="00735C1F">
            <w:pPr>
              <w:pStyle w:val="Akapitzlist"/>
              <w:spacing w:after="0" w:line="240" w:lineRule="auto"/>
              <w:ind w:left="0"/>
              <w:rPr>
                <w:lang w:val="pl-PL"/>
              </w:rPr>
            </w:pPr>
            <w:r w:rsidRPr="00A81F3F">
              <w:rPr>
                <w:lang w:val="pl-PL"/>
              </w:rPr>
              <w:t>Przeszkolenie z obsługi oprogramowania co najmniej 8 osób personelu medycznego u każdego Użytkownika i 2 osób personelu technicznego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  <w:r w:rsidRPr="00A81F3F">
              <w:rPr>
                <w:lang w:val="pl-PL"/>
              </w:rPr>
              <w:t>tak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AC28D4" w:rsidRPr="00A81F3F" w:rsidRDefault="00AC28D4" w:rsidP="00735C1F">
            <w:pPr>
              <w:spacing w:after="0" w:line="240" w:lineRule="auto"/>
              <w:contextualSpacing/>
              <w:jc w:val="center"/>
              <w:rPr>
                <w:lang w:val="pl-PL"/>
              </w:rPr>
            </w:pPr>
          </w:p>
        </w:tc>
      </w:tr>
    </w:tbl>
    <w:p w:rsidR="00E03D2F" w:rsidRDefault="00E03D2F" w:rsidP="00E03D2F">
      <w:pPr>
        <w:spacing w:after="0" w:line="240" w:lineRule="auto"/>
        <w:rPr>
          <w:sz w:val="12"/>
          <w:szCs w:val="12"/>
        </w:rPr>
      </w:pPr>
    </w:p>
    <w:p w:rsidR="00E03D2F" w:rsidRPr="00E03D2F" w:rsidRDefault="00E03D2F" w:rsidP="00E03D2F">
      <w:pPr>
        <w:spacing w:after="0" w:line="240" w:lineRule="auto"/>
        <w:rPr>
          <w:b/>
          <w:i/>
          <w:lang w:val="pl-PL"/>
        </w:rPr>
      </w:pPr>
      <w:r w:rsidRPr="00E03D2F">
        <w:rPr>
          <w:b/>
          <w:i/>
          <w:lang w:val="pl-PL"/>
        </w:rPr>
        <w:t>* wypełnia Wykonawca (</w:t>
      </w:r>
      <w:r w:rsidRPr="00E03D2F">
        <w:rPr>
          <w:i/>
          <w:lang w:val="pl-PL"/>
        </w:rPr>
        <w:t>Nie spełnienie któregokolwiek z wymagań granicznych przedstawionych w tabeli powyżej spowoduje odrzucenie oferty.</w:t>
      </w:r>
      <w:r>
        <w:rPr>
          <w:i/>
          <w:lang w:val="pl-PL"/>
        </w:rPr>
        <w:t>)</w:t>
      </w:r>
    </w:p>
    <w:p w:rsidR="00E03D2F" w:rsidRPr="00E03D2F" w:rsidRDefault="00E03D2F" w:rsidP="00E03D2F">
      <w:pPr>
        <w:spacing w:after="0" w:line="240" w:lineRule="auto"/>
        <w:rPr>
          <w:b/>
          <w:i/>
          <w:lang w:val="pl-PL"/>
        </w:rPr>
      </w:pPr>
    </w:p>
    <w:p w:rsidR="00E03D2F" w:rsidRPr="00E03D2F" w:rsidRDefault="00E03D2F" w:rsidP="00E03D2F">
      <w:pPr>
        <w:rPr>
          <w:lang w:val="pl-PL"/>
        </w:rPr>
      </w:pPr>
    </w:p>
    <w:sectPr w:rsidR="00E03D2F" w:rsidRPr="00E03D2F" w:rsidSect="00E03D2F">
      <w:headerReference w:type="default" r:id="rId8"/>
      <w:footerReference w:type="default" r:id="rId9"/>
      <w:pgSz w:w="11906" w:h="16838"/>
      <w:pgMar w:top="1387" w:right="1417" w:bottom="1417" w:left="1417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57" w:rsidRDefault="00585257" w:rsidP="00E03D2F">
      <w:pPr>
        <w:spacing w:after="0" w:line="240" w:lineRule="auto"/>
      </w:pPr>
      <w:r>
        <w:separator/>
      </w:r>
    </w:p>
  </w:endnote>
  <w:endnote w:type="continuationSeparator" w:id="0">
    <w:p w:rsidR="00585257" w:rsidRDefault="00585257" w:rsidP="00E0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2F" w:rsidRPr="00E03D2F" w:rsidRDefault="00E03D2F" w:rsidP="00E03D2F">
    <w:pPr>
      <w:pStyle w:val="Stopka"/>
      <w:jc w:val="right"/>
      <w:rPr>
        <w:lang w:val="pl-PL"/>
      </w:rPr>
    </w:pPr>
    <w:r w:rsidRPr="00E03D2F">
      <w:rPr>
        <w:rFonts w:ascii="Garamond" w:eastAsia="Times New Roman" w:hAnsi="Garamond" w:cs="Times New Roman"/>
        <w:i/>
        <w:iCs/>
        <w:sz w:val="20"/>
        <w:szCs w:val="24"/>
        <w:lang w:val="pl-PL" w:eastAsia="pl-PL" w:bidi="ar-SA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57" w:rsidRDefault="00585257" w:rsidP="00E03D2F">
      <w:pPr>
        <w:spacing w:after="0" w:line="240" w:lineRule="auto"/>
      </w:pPr>
      <w:r>
        <w:separator/>
      </w:r>
    </w:p>
  </w:footnote>
  <w:footnote w:type="continuationSeparator" w:id="0">
    <w:p w:rsidR="00585257" w:rsidRDefault="00585257" w:rsidP="00E0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2F" w:rsidRDefault="00E03D2F" w:rsidP="00E03D2F">
    <w:pPr>
      <w:pStyle w:val="Nagwek"/>
      <w:jc w:val="right"/>
      <w:rPr>
        <w:lang w:val="pl-PL"/>
      </w:rPr>
    </w:pPr>
    <w:r>
      <w:rPr>
        <w:lang w:val="pl-PL"/>
      </w:rPr>
      <w:t>Załącznik nr 1a do specyfikacji</w:t>
    </w:r>
  </w:p>
  <w:p w:rsidR="00E03D2F" w:rsidRDefault="00E03D2F" w:rsidP="00E03D2F">
    <w:pPr>
      <w:pStyle w:val="Nagwek"/>
      <w:jc w:val="right"/>
      <w:rPr>
        <w:lang w:val="pl-PL"/>
      </w:rPr>
    </w:pPr>
    <w:r>
      <w:rPr>
        <w:lang w:val="pl-PL"/>
      </w:rPr>
      <w:t>Załącznik nr …… do umowy</w:t>
    </w:r>
  </w:p>
  <w:p w:rsidR="00E03D2F" w:rsidRPr="00E03D2F" w:rsidRDefault="00E03D2F" w:rsidP="00E03D2F">
    <w:pPr>
      <w:pStyle w:val="Nagwek"/>
      <w:rPr>
        <w:lang w:val="pl-PL"/>
      </w:rPr>
    </w:pPr>
    <w:r>
      <w:rPr>
        <w:lang w:val="pl-PL"/>
      </w:rPr>
      <w:t>DFP.271.224.2018.LS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1A3"/>
    <w:multiLevelType w:val="hybridMultilevel"/>
    <w:tmpl w:val="CB285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AB"/>
    <w:rsid w:val="000F5587"/>
    <w:rsid w:val="00264B33"/>
    <w:rsid w:val="002A368C"/>
    <w:rsid w:val="00544FEE"/>
    <w:rsid w:val="00585257"/>
    <w:rsid w:val="00761758"/>
    <w:rsid w:val="00810E31"/>
    <w:rsid w:val="00841593"/>
    <w:rsid w:val="008D1631"/>
    <w:rsid w:val="00A23AD6"/>
    <w:rsid w:val="00AC19AB"/>
    <w:rsid w:val="00AC28D4"/>
    <w:rsid w:val="00B47A32"/>
    <w:rsid w:val="00B5064D"/>
    <w:rsid w:val="00C2699E"/>
    <w:rsid w:val="00C638FB"/>
    <w:rsid w:val="00CF72E1"/>
    <w:rsid w:val="00D74042"/>
    <w:rsid w:val="00DB1BF8"/>
    <w:rsid w:val="00E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D4"/>
    <w:rPr>
      <w:rFonts w:ascii="Calibri" w:eastAsia="Calibri" w:hAnsi="Calibri" w:cs="Arial"/>
      <w:lang w:val="en-US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8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D2F"/>
    <w:rPr>
      <w:rFonts w:ascii="Calibri" w:eastAsia="Calibri" w:hAnsi="Calibri" w:cs="Arial"/>
      <w:lang w:val="en-US" w:bidi="he-IL"/>
    </w:rPr>
  </w:style>
  <w:style w:type="paragraph" w:styleId="Stopka">
    <w:name w:val="footer"/>
    <w:basedOn w:val="Normalny"/>
    <w:link w:val="StopkaZnak"/>
    <w:uiPriority w:val="99"/>
    <w:unhideWhenUsed/>
    <w:rsid w:val="00E0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2F"/>
    <w:rPr>
      <w:rFonts w:ascii="Calibri" w:eastAsia="Calibri" w:hAnsi="Calibri" w:cs="Arial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8D4"/>
    <w:rPr>
      <w:rFonts w:ascii="Calibri" w:eastAsia="Calibri" w:hAnsi="Calibri" w:cs="Arial"/>
      <w:lang w:val="en-US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8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D2F"/>
    <w:rPr>
      <w:rFonts w:ascii="Calibri" w:eastAsia="Calibri" w:hAnsi="Calibri" w:cs="Arial"/>
      <w:lang w:val="en-US" w:bidi="he-IL"/>
    </w:rPr>
  </w:style>
  <w:style w:type="paragraph" w:styleId="Stopka">
    <w:name w:val="footer"/>
    <w:basedOn w:val="Normalny"/>
    <w:link w:val="StopkaZnak"/>
    <w:uiPriority w:val="99"/>
    <w:unhideWhenUsed/>
    <w:rsid w:val="00E03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2F"/>
    <w:rPr>
      <w:rFonts w:ascii="Calibri" w:eastAsia="Calibri" w:hAnsi="Calibri" w:cs="Arial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Malina</dc:creator>
  <cp:lastModifiedBy>Łukasz Sendo</cp:lastModifiedBy>
  <cp:revision>3</cp:revision>
  <dcterms:created xsi:type="dcterms:W3CDTF">2018-11-23T10:35:00Z</dcterms:created>
  <dcterms:modified xsi:type="dcterms:W3CDTF">2018-11-26T08:12:00Z</dcterms:modified>
</cp:coreProperties>
</file>