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07963" w14:textId="77777777" w:rsidR="0061410F" w:rsidRPr="0061410F" w:rsidRDefault="0061410F" w:rsidP="006141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14:paraId="400D7513" w14:textId="77777777" w:rsidR="0061410F" w:rsidRPr="0061410F" w:rsidRDefault="0061410F" w:rsidP="006141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 xml:space="preserve">Dostawa, instalacja i </w:t>
      </w:r>
      <w:r w:rsidR="00536830">
        <w:rPr>
          <w:rFonts w:ascii="Times New Roman" w:eastAsia="Times New Roman" w:hAnsi="Times New Roman" w:cs="Times New Roman"/>
          <w:b/>
          <w:lang w:eastAsia="ar-SA"/>
        </w:rPr>
        <w:t>uruchomienie generatora 68 Ge /</w:t>
      </w:r>
      <w:r w:rsidRPr="0061410F">
        <w:rPr>
          <w:rFonts w:ascii="Times New Roman" w:eastAsia="Times New Roman" w:hAnsi="Times New Roman" w:cs="Times New Roman"/>
          <w:b/>
          <w:lang w:eastAsia="ar-SA"/>
        </w:rPr>
        <w:t>68 Ga 1,85 GBq</w:t>
      </w:r>
    </w:p>
    <w:p w14:paraId="5F5136E3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9B38C43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Uwagi i objaśnienia:</w:t>
      </w:r>
    </w:p>
    <w:p w14:paraId="0818D277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B4ED6D4" w14:textId="77777777"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A945450" w14:textId="77777777"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Parametry o określonych warunkach liczbowych ( „≥ ”  lub „≤ ” ) są warunkami granicznymi, których niespełnienie spowoduje odrzucenie oferty. Wartość podana przy znaku  „=” oznacza wartość wymaganą.</w:t>
      </w:r>
    </w:p>
    <w:p w14:paraId="07735DFA" w14:textId="77777777"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14:paraId="6FE8FC49" w14:textId="77777777"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</w:t>
      </w:r>
      <w:r>
        <w:rPr>
          <w:rFonts w:ascii="Times New Roman" w:eastAsia="Times New Roman" w:hAnsi="Times New Roman" w:cs="Times New Roman"/>
          <w:lang w:eastAsia="ar-SA"/>
        </w:rPr>
        <w:t>produkcji nie wcześniej niż 2018</w:t>
      </w:r>
      <w:r w:rsidRPr="0061410F">
        <w:rPr>
          <w:rFonts w:ascii="Times New Roman" w:eastAsia="Times New Roman" w:hAnsi="Times New Roman" w:cs="Times New Roman"/>
          <w:lang w:eastAsia="ar-SA"/>
        </w:rPr>
        <w:t>), nieużywany, kompletny i do jego uruchomienia oraz stosowania zgodnie z przeznaczeniem nie jest konieczny zakup dodatkowych elementów i akcesoriów.</w:t>
      </w:r>
    </w:p>
    <w:p w14:paraId="58236CC3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105293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3CB429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14:paraId="5ED84BCE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AE0FF8B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14:paraId="14B84BF1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D462B39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14:paraId="07F51F46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1BD73C1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14:paraId="3C0E9D36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7B20240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230D1EBA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4960985E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PARAMETRY TECHNICZNE I EKSPLOATACYJNE</w:t>
      </w:r>
    </w:p>
    <w:tbl>
      <w:tblPr>
        <w:tblW w:w="1495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7794"/>
        <w:gridCol w:w="1690"/>
        <w:gridCol w:w="1701"/>
        <w:gridCol w:w="2977"/>
      </w:tblGrid>
      <w:tr w:rsidR="0061410F" w:rsidRPr="0061410F" w14:paraId="23B65AFC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C21CFA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E5998" w14:textId="77777777"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1FED97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A9DB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1402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61410F" w14:paraId="7F806E41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CD2940" w14:textId="77777777" w:rsidR="0061410F" w:rsidRPr="0061410F" w:rsidRDefault="0061410F" w:rsidP="0061410F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</w:p>
        </w:tc>
        <w:tc>
          <w:tcPr>
            <w:tcW w:w="1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3C77" w14:textId="77777777" w:rsidR="0061410F" w:rsidRPr="0061410F" w:rsidRDefault="0061410F" w:rsidP="006141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lang w:eastAsia="ar-SA"/>
              </w:rPr>
              <w:t>WYMAGANIA OGÓLNE</w:t>
            </w:r>
          </w:p>
        </w:tc>
      </w:tr>
      <w:tr w:rsidR="0061410F" w:rsidRPr="0061410F" w14:paraId="1EC87A2A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2A952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F6BCC7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Generator 68Ge-68Ga o aktywności 1,85 GBq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50039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740F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F25C4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08C65A84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36C50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EDE60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Produkt leczniczy dopuszczony do obrotu na terenie Polski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5F440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7F9F7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53D7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67805D05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B33A6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93BE6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Wydajność / zawartość 68 Ga w 5 ml eluatu nie mniej niż 60%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BC32A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B0F93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7B34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2D9A1888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D6E92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7A423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Zawartość 68 Ge w eluacie w dniu kalibracji nie więcej niż 0,001%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30CF64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391F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3599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153EFC01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BED1B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B3D429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Eluat sterylny i wolny od endoksyn bakteryjnych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F214E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8334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41E0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2B29B874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66CBC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962EE2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Zawartość metali: Fe &lt;10μg/GBq</w:t>
            </w:r>
          </w:p>
          <w:p w14:paraId="3E914BA0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Zn &lt;10μg/GBq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0F0374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45A2C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2C71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14:paraId="012C3914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605F7" w14:textId="77777777"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FCE0A" w14:textId="23B52C69" w:rsidR="0061014A" w:rsidRPr="0061410F" w:rsidRDefault="0061014A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Generator współpracujący z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posiadanym przez Zamawiającego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automatycznym modułem syntezy do znakowania Modular-Lab PharmTracer.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3279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D0175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B381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14:paraId="1F5599EC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6663F" w14:textId="77777777"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D3848" w14:textId="77777777" w:rsidR="00975A3B" w:rsidRPr="0061410F" w:rsidRDefault="00975A3B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Konieczna walidacja procedur syntezy 68Ga z analogu somatostatyny w przypadku w innego generatora niż zalecany przez producenta  modułu „Modular-Lab PharmTracer”.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50CBE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6AA70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8D96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14:paraId="75304266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EB1E6" w14:textId="77777777"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BA31E" w14:textId="77777777" w:rsidR="00975A3B" w:rsidRPr="0061410F" w:rsidRDefault="00975A3B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Instalacja generatora (kwalifikacja instalacyjna, operacyjna  oraz podłączenie do modułu syntezy i próbna elucją) w komorze gorącej  znajdujących  się w pracowni PET-CT.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D7237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38A49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F858" w14:textId="77777777"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7A371F" w:rsidRPr="0061410F" w14:paraId="686CE004" w14:textId="77777777" w:rsidTr="0048127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03B9D" w14:textId="77777777" w:rsidR="007A371F" w:rsidRPr="0061410F" w:rsidRDefault="007A371F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BD9EB" w14:textId="47668058" w:rsidR="00715C7D" w:rsidRPr="0061410F" w:rsidRDefault="00715C7D" w:rsidP="001E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Wszystkie czynności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wymienione w pkt. 8 i 9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wykonywane przez upoważnionego przedstawiciela producenta aparatu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3C4B7" w14:textId="77777777" w:rsidR="007A371F" w:rsidRPr="0061410F" w:rsidRDefault="007A371F" w:rsidP="001E08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E9119" w14:textId="77777777" w:rsidR="007A371F" w:rsidRPr="0061410F" w:rsidRDefault="007A371F" w:rsidP="001E08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4625" w14:textId="77777777" w:rsidR="007A371F" w:rsidRPr="0061410F" w:rsidRDefault="007A371F" w:rsidP="001E08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7A371F" w:rsidRPr="0061410F" w14:paraId="06DA9852" w14:textId="77777777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AECD8" w14:textId="77777777" w:rsidR="007A371F" w:rsidRPr="0061410F" w:rsidRDefault="007A371F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CE9D1" w14:textId="77777777" w:rsidR="007A371F" w:rsidRPr="0061410F" w:rsidRDefault="007A371F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Wymiary maksymalne podstawy generatora 150x150 mm (Wynikające z wymiarów wewnętrznych komory NMC 50 Ga-68).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2DE7B" w14:textId="77777777"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DC95B" w14:textId="77777777"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C7F" w14:textId="77777777"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14:paraId="0B122FB9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3BD8CF2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61410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97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797"/>
        <w:gridCol w:w="1701"/>
        <w:gridCol w:w="1701"/>
        <w:gridCol w:w="2977"/>
      </w:tblGrid>
      <w:tr w:rsidR="0061410F" w:rsidRPr="0061410F" w14:paraId="34568BAD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D4F75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236EC" w14:textId="77777777"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1E5E9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DDDE3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5F075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61410F" w14:paraId="07C03879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3726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59BB2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Gwarantowany czas eksploatacji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2F547" w14:textId="77777777"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≥12 miesięcy od daty kalibracji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850B4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CDCE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12 mies. – 0 pkt;</w:t>
            </w:r>
          </w:p>
          <w:p w14:paraId="7CB00517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najwięcej – 10 pkt; inne proporcjonalnie mniej</w:t>
            </w:r>
          </w:p>
        </w:tc>
      </w:tr>
      <w:tr w:rsidR="0061410F" w:rsidRPr="0061410F" w14:paraId="23554F69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329D5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8D334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6141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dni od poniedziałku do piątku, 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z wyjątkiem świąt i </w:t>
            </w:r>
            <w:r w:rsidRPr="0061410F">
              <w:rPr>
                <w:rFonts w:ascii="Times New Roman" w:eastAsia="Times New Roman" w:hAnsi="Times New Roman" w:cs="Times New Roman"/>
                <w:bCs/>
                <w:lang w:eastAsia="ar-SA"/>
              </w:rPr>
              <w:t>dni</w:t>
            </w:r>
            <w:r w:rsidRPr="0061410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B516D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≤ 3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F8CC7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88163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3 dni – 0 pkt;</w:t>
            </w:r>
          </w:p>
          <w:p w14:paraId="58C89DA9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najszybciej – 5 pkt, inne proporcjonalnie mniej</w:t>
            </w:r>
          </w:p>
        </w:tc>
      </w:tr>
      <w:tr w:rsidR="0061410F" w:rsidRPr="0061410F" w14:paraId="63A127F2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44205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5693F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Maksymalny czas naprawy nie przekroczy 10 dni roboczych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36EE6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265A9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0B31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14:paraId="55ACEB38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66441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0D653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61410F">
              <w:rPr>
                <w:rFonts w:ascii="Times New Roman" w:eastAsia="Arial" w:hAnsi="Times New Roman" w:cs="Times New Roman"/>
                <w:kern w:val="2"/>
                <w:lang w:eastAsia="ar-SA"/>
              </w:rPr>
              <w:t>Liczba przeglądów okresowych niezbędnych do wykonywania po upływie gwarancji dla potwierdzenia bezpiecznej eksploatacji sprzętu  – podać, opisać zakres.</w:t>
            </w:r>
          </w:p>
          <w:p w14:paraId="7EEAF747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UWAGA – wykonawcę obowiązuje wykonywanie przeglądów okresowych w wymaganej liczbie także w okresie gwarancji (w cenie oferty, bez żadnych dodatkowych kosztów)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D69CA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01BC2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D638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1 przegląd – 5 pkt.</w:t>
            </w:r>
          </w:p>
          <w:p w14:paraId="4557D5A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więcej – 0 pkt.</w:t>
            </w:r>
          </w:p>
        </w:tc>
      </w:tr>
      <w:tr w:rsidR="0061410F" w:rsidRPr="0061410F" w14:paraId="1A012BCA" w14:textId="77777777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8A4F9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DD84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Wszelkie koszty związane z późniejszą utylizacją generatora ponosi wykonawca.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FAE67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29A9C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0972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14:paraId="39F9A1E6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8C4D344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1E9A1F4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AF70E12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2E388E7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E07E0E1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POZOSTAŁE WYMAGANIA</w:t>
      </w:r>
    </w:p>
    <w:tbl>
      <w:tblPr>
        <w:tblW w:w="1495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0479"/>
        <w:gridCol w:w="1832"/>
        <w:gridCol w:w="1758"/>
      </w:tblGrid>
      <w:tr w:rsidR="0061410F" w:rsidRPr="0061410F" w14:paraId="78D27F33" w14:textId="77777777" w:rsidTr="0061410F">
        <w:trPr>
          <w:trHeight w:val="23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B0536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3AA8E" w14:textId="77777777"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2DD6E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A89D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61410F" w:rsidRPr="0061410F" w14:paraId="36629612" w14:textId="77777777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6C495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0681E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Aktywność generatora kalibrowana na dzień najbliższy dnia dostawy  nie wcześniej niż 2 tygodnie od dnia dostawy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6EE29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7BA1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10F" w:rsidRPr="0061410F" w14:paraId="677B3CD0" w14:textId="77777777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40E6C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A35EE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Instrukcja obsługi w języku polskim w formie elektronicznej i drukowanej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3A622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2272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10F" w:rsidRPr="0061410F" w14:paraId="7B6F89C0" w14:textId="77777777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8E9C0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C6410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Świadectwo zgodności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77048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7C62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10F" w:rsidRPr="0061410F" w14:paraId="433761CE" w14:textId="77777777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475E7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BC8CE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Świadectwo dopuszczenia do obrotu produktu leczniczego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C34EE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68AC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10F" w:rsidRPr="0061410F" w14:paraId="28F0A0DB" w14:textId="77777777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FF513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9C08D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CDB95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AE70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1410F" w:rsidRPr="0061410F" w14:paraId="75503E5E" w14:textId="77777777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7C4CE" w14:textId="77777777"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5E51B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Szkolenia dla personelu  medycznego z zakresu obsługi urządzenia 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32796" w14:textId="77777777"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52D3" w14:textId="77777777"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275948F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3D107E5" w14:textId="77777777"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ar-SA"/>
        </w:rPr>
      </w:pPr>
    </w:p>
    <w:p w14:paraId="55289CC7" w14:textId="77777777"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136E2A" w14:textId="77777777" w:rsidR="00F14F3B" w:rsidRDefault="00F14F3B"/>
    <w:sectPr w:rsidR="00F14F3B" w:rsidSect="0061410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C6AA" w14:textId="77777777" w:rsidR="00071D2B" w:rsidRDefault="00071D2B" w:rsidP="00AB1F4B">
      <w:pPr>
        <w:spacing w:after="0" w:line="240" w:lineRule="auto"/>
      </w:pPr>
      <w:r>
        <w:separator/>
      </w:r>
    </w:p>
  </w:endnote>
  <w:endnote w:type="continuationSeparator" w:id="0">
    <w:p w14:paraId="37100DC1" w14:textId="77777777" w:rsidR="00071D2B" w:rsidRDefault="00071D2B" w:rsidP="00AB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8844823"/>
      <w:docPartObj>
        <w:docPartGallery w:val="Page Numbers (Bottom of Page)"/>
        <w:docPartUnique/>
      </w:docPartObj>
    </w:sdtPr>
    <w:sdtEndPr/>
    <w:sdtContent>
      <w:p w14:paraId="23AFB216" w14:textId="77777777" w:rsidR="001A57BE" w:rsidRDefault="001A57BE" w:rsidP="001A57B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264FCDBC" w14:textId="77777777" w:rsidR="001A57BE" w:rsidRDefault="001A57BE" w:rsidP="001A57B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E9473AC" w14:textId="77777777" w:rsidR="001A57BE" w:rsidRDefault="001A57BE" w:rsidP="001A57B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0026672E" w14:textId="6B7571DA" w:rsidR="001A57BE" w:rsidRDefault="001A57BE" w:rsidP="001A57BE">
        <w:pPr>
          <w:pStyle w:val="Stopka"/>
        </w:pPr>
        <w:r w:rsidRPr="001A57BE">
          <w:rPr>
            <w:rFonts w:ascii="Garamond" w:eastAsiaTheme="majorEastAsia" w:hAnsi="Garamond" w:cstheme="majorBidi"/>
          </w:rPr>
          <w:t xml:space="preserve">str. </w:t>
        </w:r>
        <w:r w:rsidRPr="001A57BE">
          <w:rPr>
            <w:rFonts w:ascii="Garamond" w:eastAsiaTheme="minorEastAsia" w:hAnsi="Garamond" w:cs="Times New Roman"/>
          </w:rPr>
          <w:fldChar w:fldCharType="begin"/>
        </w:r>
        <w:r w:rsidRPr="001A57BE">
          <w:rPr>
            <w:rFonts w:ascii="Garamond" w:hAnsi="Garamond"/>
          </w:rPr>
          <w:instrText>PAGE    \* MERGEFORMAT</w:instrText>
        </w:r>
        <w:r w:rsidRPr="001A57BE">
          <w:rPr>
            <w:rFonts w:ascii="Garamond" w:eastAsiaTheme="minorEastAsia" w:hAnsi="Garamond" w:cs="Times New Roman"/>
          </w:rPr>
          <w:fldChar w:fldCharType="separate"/>
        </w:r>
        <w:r w:rsidR="00715C7D" w:rsidRPr="00715C7D">
          <w:rPr>
            <w:rFonts w:ascii="Garamond" w:eastAsiaTheme="majorEastAsia" w:hAnsi="Garamond" w:cstheme="majorBidi"/>
            <w:noProof/>
          </w:rPr>
          <w:t>4</w:t>
        </w:r>
        <w:r w:rsidRPr="001A57BE">
          <w:rPr>
            <w:rFonts w:ascii="Garamond" w:eastAsiaTheme="majorEastAsia" w:hAnsi="Garamond" w:cstheme="majorBidi"/>
          </w:rPr>
          <w:fldChar w:fldCharType="end"/>
        </w:r>
        <w:r w:rsidRPr="001A57BE">
          <w:rPr>
            <w:rFonts w:ascii="Garamond" w:eastAsiaTheme="majorEastAsia" w:hAnsi="Garamond" w:cstheme="majorBidi"/>
          </w:rPr>
          <w:t xml:space="preserve">                                                                                                                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  <w:p w14:paraId="5C50ED15" w14:textId="77777777" w:rsidR="001A57BE" w:rsidRDefault="001A57BE" w:rsidP="001A57BE">
        <w:pPr>
          <w:pStyle w:val="Stopka"/>
        </w:pPr>
      </w:p>
      <w:p w14:paraId="27A42044" w14:textId="77777777" w:rsidR="001A57BE" w:rsidRDefault="00071D2B">
        <w:pPr>
          <w:pStyle w:val="Stopka"/>
        </w:pPr>
      </w:p>
    </w:sdtContent>
  </w:sdt>
  <w:p w14:paraId="5E768633" w14:textId="77777777" w:rsidR="00AB1F4B" w:rsidRDefault="00AB1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B11A" w14:textId="77777777" w:rsidR="00071D2B" w:rsidRDefault="00071D2B" w:rsidP="00AB1F4B">
      <w:pPr>
        <w:spacing w:after="0" w:line="240" w:lineRule="auto"/>
      </w:pPr>
      <w:r>
        <w:separator/>
      </w:r>
    </w:p>
  </w:footnote>
  <w:footnote w:type="continuationSeparator" w:id="0">
    <w:p w14:paraId="0DF16F02" w14:textId="77777777" w:rsidR="00071D2B" w:rsidRDefault="00071D2B" w:rsidP="00AB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05ECC" w14:textId="77777777" w:rsidR="00AB1F4B" w:rsidRPr="00EA6D32" w:rsidRDefault="00AB1F4B" w:rsidP="00AB1F4B">
    <w:pPr>
      <w:tabs>
        <w:tab w:val="center" w:pos="7002"/>
      </w:tabs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DFP.271.163.2018.AJ</w:t>
    </w:r>
    <w:r w:rsidRPr="00BC2A25"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Garamond" w:hAnsi="Garamond"/>
      </w:rPr>
      <w:t xml:space="preserve">Załącznik 1a do Specyfikacji 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                                                                                                                                   Załącznik nr ……. do umowy nr ….</w:t>
    </w:r>
  </w:p>
  <w:p w14:paraId="2DC18C2E" w14:textId="77777777" w:rsidR="00AB1F4B" w:rsidRPr="001A57BE" w:rsidRDefault="00AB1F4B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71D2B"/>
    <w:rsid w:val="00176FC7"/>
    <w:rsid w:val="001A57BE"/>
    <w:rsid w:val="00536830"/>
    <w:rsid w:val="005B0BFB"/>
    <w:rsid w:val="0061014A"/>
    <w:rsid w:val="0061410F"/>
    <w:rsid w:val="00615ADB"/>
    <w:rsid w:val="00715C7D"/>
    <w:rsid w:val="007A371F"/>
    <w:rsid w:val="00975A3B"/>
    <w:rsid w:val="00A04362"/>
    <w:rsid w:val="00A1682E"/>
    <w:rsid w:val="00AB1F4B"/>
    <w:rsid w:val="00AE6FAF"/>
    <w:rsid w:val="00B42E77"/>
    <w:rsid w:val="00F14F3B"/>
    <w:rsid w:val="00F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5DB9"/>
  <w15:docId w15:val="{873BCEB9-33B4-4310-9FAB-EE852EBA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F4B"/>
  </w:style>
  <w:style w:type="paragraph" w:styleId="Stopka">
    <w:name w:val="footer"/>
    <w:basedOn w:val="Normalny"/>
    <w:link w:val="StopkaZnak"/>
    <w:uiPriority w:val="99"/>
    <w:unhideWhenUsed/>
    <w:rsid w:val="00AB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F4B"/>
  </w:style>
  <w:style w:type="character" w:styleId="Odwoaniedokomentarza">
    <w:name w:val="annotation reference"/>
    <w:basedOn w:val="Domylnaczcionkaakapitu"/>
    <w:uiPriority w:val="99"/>
    <w:semiHidden/>
    <w:unhideWhenUsed/>
    <w:rsid w:val="00F22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F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2A292-CE49-4E88-8240-8B89AB10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Arletta Jędrasiewicz</cp:lastModifiedBy>
  <cp:revision>7</cp:revision>
  <dcterms:created xsi:type="dcterms:W3CDTF">2018-08-21T07:28:00Z</dcterms:created>
  <dcterms:modified xsi:type="dcterms:W3CDTF">2018-08-21T09:39:00Z</dcterms:modified>
</cp:coreProperties>
</file>