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FA" w:rsidRPr="007B2BFA" w:rsidRDefault="007B2BFA" w:rsidP="007B2BFA">
      <w:pPr>
        <w:tabs>
          <w:tab w:val="center" w:pos="4536"/>
          <w:tab w:val="right" w:pos="1404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NSSU.DFP.271.1.2018.ADB</w:t>
      </w:r>
      <w:r w:rsidRPr="007B2BFA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               Załącznik nr 1a do specyfikacji</w:t>
      </w:r>
    </w:p>
    <w:p w:rsidR="007B2BFA" w:rsidRDefault="007B2BFA" w:rsidP="007B2BFA">
      <w:pPr>
        <w:suppressAutoHyphens/>
        <w:autoSpaceDN w:val="0"/>
        <w:spacing w:after="0" w:line="288" w:lineRule="auto"/>
        <w:jc w:val="center"/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</w:pPr>
      <w:r w:rsidRPr="007B2BFA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Załącznik nr …… do umowy</w:t>
      </w:r>
    </w:p>
    <w:p w:rsidR="007B2BFA" w:rsidRDefault="007B2BFA" w:rsidP="00981F21">
      <w:pPr>
        <w:suppressAutoHyphens/>
        <w:autoSpaceDN w:val="0"/>
        <w:spacing w:after="0" w:line="288" w:lineRule="auto"/>
        <w:jc w:val="center"/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jc w:val="center"/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</w:pPr>
      <w:r w:rsidRPr="00981F21"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  <w:t>OPIS PRZEDMIOTU ZAMÓWIENIA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b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981F21">
        <w:rPr>
          <w:rFonts w:ascii="Century Gothic" w:hAnsi="Century Gothic"/>
          <w:b/>
          <w:u w:val="single"/>
        </w:rPr>
        <w:t>Robot Chirurgiczny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>Uwagi i objaśnienia: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</w:pPr>
    </w:p>
    <w:p w:rsidR="00981F21" w:rsidRPr="00981F21" w:rsidRDefault="00981F21" w:rsidP="00981F21">
      <w:pPr>
        <w:numPr>
          <w:ilvl w:val="0"/>
          <w:numId w:val="4"/>
        </w:numPr>
        <w:suppressAutoHyphens/>
        <w:autoSpaceDN w:val="0"/>
        <w:spacing w:after="0" w:line="288" w:lineRule="auto"/>
        <w:jc w:val="both"/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81F21" w:rsidRPr="00981F21" w:rsidRDefault="00981F21" w:rsidP="00981F21">
      <w:pPr>
        <w:numPr>
          <w:ilvl w:val="0"/>
          <w:numId w:val="4"/>
        </w:numPr>
        <w:suppressAutoHyphens/>
        <w:autoSpaceDN w:val="0"/>
        <w:spacing w:after="0" w:line="288" w:lineRule="auto"/>
        <w:jc w:val="both"/>
        <w:rPr>
          <w:rFonts w:ascii="Century Gothic" w:eastAsia="Lucida Sans Unicode" w:hAnsi="Century Gothic" w:cs="Mangal"/>
          <w:kern w:val="3"/>
          <w:sz w:val="18"/>
          <w:szCs w:val="18"/>
          <w:lang w:val="en-US"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81F21" w:rsidRPr="00981F21" w:rsidRDefault="00981F21" w:rsidP="00981F21">
      <w:pPr>
        <w:numPr>
          <w:ilvl w:val="0"/>
          <w:numId w:val="4"/>
        </w:numPr>
        <w:suppressAutoHyphens/>
        <w:autoSpaceDN w:val="0"/>
        <w:spacing w:after="0" w:line="288" w:lineRule="auto"/>
        <w:jc w:val="both"/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>Wykonawca zobowiązany jest do podania parametrów w jednostkach wskazanych w niniejszym opisie.</w:t>
      </w:r>
    </w:p>
    <w:p w:rsidR="00981F21" w:rsidRPr="00981F21" w:rsidRDefault="00981F21" w:rsidP="00981F21">
      <w:pPr>
        <w:numPr>
          <w:ilvl w:val="0"/>
          <w:numId w:val="4"/>
        </w:numPr>
        <w:suppressAutoHyphens/>
        <w:autoSpaceDN w:val="0"/>
        <w:spacing w:after="0" w:line="288" w:lineRule="auto"/>
        <w:jc w:val="both"/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>rekondycjonowanym</w:t>
      </w:r>
      <w:proofErr w:type="spellEnd"/>
      <w:r w:rsidRPr="00981F21">
        <w:rPr>
          <w:rFonts w:ascii="Century Gothic" w:eastAsia="Lucida Sans Unicode" w:hAnsi="Century Gothic" w:cs="Mangal"/>
          <w:kern w:val="3"/>
          <w:sz w:val="18"/>
          <w:szCs w:val="18"/>
          <w:lang w:eastAsia="zh-CN" w:bidi="hi-IN"/>
        </w:rPr>
        <w:t>, powystawowym i nie był wykorzystywany wcześniej przez innego użytkownika.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  <w:t>Nazwa i typ: .............................................................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  <w:t>Rok produkcji (min. 2018): …..............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  <w:r w:rsidRPr="00981F21"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  <w:t>Klasa wyrobu medycznego: ..................</w:t>
      </w: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Pr="00981F21" w:rsidRDefault="00981F21" w:rsidP="00981F2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:rsidR="00981F21" w:rsidRDefault="00981F21" w:rsidP="00981F21">
      <w:pPr>
        <w:spacing w:line="288" w:lineRule="auto"/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</w:p>
    <w:p w:rsidR="00981F21" w:rsidRPr="00981F21" w:rsidRDefault="00981F21" w:rsidP="00981F21">
      <w:pPr>
        <w:spacing w:line="288" w:lineRule="auto"/>
        <w:rPr>
          <w:rFonts w:ascii="Century Gothic" w:hAnsi="Century Gothic"/>
          <w:b/>
          <w:bCs/>
          <w:sz w:val="20"/>
          <w:szCs w:val="20"/>
        </w:rPr>
      </w:pPr>
      <w:r w:rsidRPr="00981F21">
        <w:rPr>
          <w:rFonts w:ascii="Century Gothic" w:hAnsi="Century Gothic"/>
          <w:b/>
          <w:bCs/>
          <w:sz w:val="20"/>
          <w:szCs w:val="20"/>
        </w:rPr>
        <w:lastRenderedPageBreak/>
        <w:t>Parametry techniczne i eksploatacyjne</w:t>
      </w:r>
    </w:p>
    <w:tbl>
      <w:tblPr>
        <w:tblW w:w="1488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377"/>
        <w:gridCol w:w="1701"/>
        <w:gridCol w:w="3684"/>
        <w:gridCol w:w="2409"/>
      </w:tblGrid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  <w:t>Parametr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b/>
                <w:kern w:val="1"/>
                <w:sz w:val="20"/>
                <w:szCs w:val="20"/>
                <w:lang w:eastAsia="pl-PL"/>
              </w:rPr>
              <w:t>Ocena pkt.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  <w:t xml:space="preserve">System składający się z następujących elementów: </w:t>
            </w: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konsoli chirurga, platformy operacyjnej wyposażonej w 4 ramiona operacyjne, trójwymiarowego systemu wizyjnego oraz specjalnych narzędzi chirurgicznych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Konsola chirurgiczna zapewniająca skalowanie ruchu oraz redukcję drgań w celu zminimalizowania naturalnego drżenia rąk i przypadkowych ruchów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Sterowanie endoskopem 3D oraz narzędziami min. dwoma manetkami sterującymi i pedałami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Możliwość zmiany trybu wyświetlania z jednego obrazu wyświetlanego na całym ekranie na tryb wyświetlania kilku obrazów na ekranie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>tak – 5 pkt., nie – 0 pkt.</w:t>
            </w: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Konsola chirurgiczna wyposażona w możliwość regulacji parametrów ergonomicznych umożliwiających uwzględnienie różnej budowy ciała w celu zapewnienia chirurgowi optymalnego komfortu podczas przeprowadzania operacji.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>tak – 5 pkt., nie – 0 pkt.</w:t>
            </w: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  <w:t xml:space="preserve">Elementy składowe konsoli: </w:t>
            </w: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manetki sterujące, przeglądarka stereoskopowa, lewy i prawy pulpit, panel dotykowy (</w:t>
            </w:r>
            <w:proofErr w:type="spellStart"/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touchpad</w:t>
            </w:r>
            <w:proofErr w:type="spellEnd"/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), panel przełączników nożnych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Manetki sterujące - umożliwiające chirurgowi sterowanie narzędziami oraz endoskopem wewnątrz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Przeglądarka stereoskopowa - zapewniająca obraz wideo operatorowi konsoli chirurgicznej, wyświetlająca komunikaty oraz ikony z informacjami o stanie systemu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Panel dotykowy - do wybierania różnych funkcji systemu (w tym: ustawienia kamery/endoskopu, Zaawansowane regulacje parametrów wideo, Preferencje wyświetlania, ustawienia audio, zarządzanie kontami, zarządzanie zapisami, Preferencje dotyczące parametrów kontroli systemu)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 xml:space="preserve">Lewy i prawy pulpit - umieszczone po obu stronach podłokietnika konsoli chirurgicznej, zawierające przyciski sterujące do regulacji parametrów ergonomicznych, przycisk </w:t>
            </w:r>
            <w:r w:rsidRPr="00981F21">
              <w:rPr>
                <w:rFonts w:ascii="Century Gothic" w:eastAsia="Andale Sans UI" w:hAnsi="Century Gothic" w:cs="Times New Roman"/>
                <w:bCs/>
                <w:kern w:val="1"/>
                <w:sz w:val="20"/>
                <w:szCs w:val="20"/>
                <w:lang w:eastAsia="pl-PL"/>
              </w:rPr>
              <w:t xml:space="preserve">zasilania </w:t>
            </w: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 xml:space="preserve">oraz </w:t>
            </w:r>
            <w:r w:rsidRPr="00981F21">
              <w:rPr>
                <w:rFonts w:ascii="Century Gothic" w:eastAsia="Andale Sans UI" w:hAnsi="Century Gothic" w:cs="Times New Roman"/>
                <w:bCs/>
                <w:kern w:val="1"/>
                <w:sz w:val="20"/>
                <w:szCs w:val="20"/>
                <w:lang w:eastAsia="pl-PL"/>
              </w:rPr>
              <w:t>wyłącznik awaryjny</w:t>
            </w: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981F21">
              <w:rPr>
                <w:rFonts w:ascii="Century Gothic" w:hAnsi="Century Gothic"/>
                <w:sz w:val="20"/>
                <w:szCs w:val="20"/>
              </w:rPr>
              <w:t>Panel przełączników nożnych - umieszczony u podstawy konsoli chirurgicznej , działający jako  interfejs umożliwiający wykonanie różnych czynności chirurgicznych (sterowanie kamerą, sprzęgło głównych sterowników, przełączanie ramion, sterowanie urządzeniami elektrochirurgicznymi).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Platforma operacyjna - sterowanie ramionami narzędzi oraz ramieniem kamery, wyposażona w następujące elementy: Przeguby nastawcze, Ramiona na narzędzia, Ramię kamery, Napęd elektryczny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Przeguby nastawcze -  do ustawiania ramion na platformie operacyjnej w celu ustalenia punktu centralnego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Ramiona na narzędzia - sterylny interfejs na narzędzia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Ramię kamery  - sterylny interfejs dla endoskopu 3D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Napęd elektryczny - umożliwiający dokowanie i/lub zmianę położenia na sali operacyjnej. Interfejs napędu elektrycznego obejmujący: kolumnę kierowniczą, przepustnicę, przełącznik otwierający przepustnicę oraz przełączniki przemieszczenia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981F2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Wózek z systemem wizyjnym -</w:t>
            </w:r>
            <w:r w:rsidRPr="00981F2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81F2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centralny zestaw do przetwarzania i wyświetlania obrazów, min. 21-calowy ekran dotykowy. Elementy systemu wizyjnego: Rdzeń systemu, Źródło światła, Głowica kamery stereoskopowej, Układ sterowania kamery, Ekran dotykowy, Oprawy na zbiornik CO2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E3617B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E3617B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 xml:space="preserve">przekątna 24 cale lub więcej – 2 pkt. </w:t>
            </w:r>
          </w:p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>mniejsze wartości – 1 pkt.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Endoskop 12 mm 3D z końcówką prostą / zakrzywioną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E3617B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E3617B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Głowica kamery stereo HD -  pole widzenia 60 stopni, min. 4-krotne powiększenie obrazu obserwowanego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E3617B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E3617B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>powiększenie 6-krotne lub większe – 2 pkt.,</w:t>
            </w:r>
          </w:p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>mniejsze wartości – 0 pkt.</w:t>
            </w:r>
          </w:p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16"/>
                <w:szCs w:val="16"/>
                <w:lang w:eastAsia="fa-IR" w:bidi="fa-IR"/>
              </w:rPr>
              <w:t xml:space="preserve">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Układ sterowania kamery -  podłączony do kamery za pomocą pojedynczego przewodu, sterujący akwizycją i przetwarzaniem obrazu z kamery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Ekran dotykowy - do ustawiania parametrów systemu oraz oglądania obrazu pola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  <w:tr w:rsidR="00981F21" w:rsidRPr="00981F21" w:rsidTr="007B6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entury Gothic" w:eastAsia="Andale Sans UI" w:hAnsi="Century Gothic" w:cs="Arial"/>
                <w:color w:val="000000"/>
                <w:kern w:val="1"/>
                <w:sz w:val="20"/>
                <w:szCs w:val="20"/>
                <w:lang w:eastAsia="pl-PL"/>
              </w:rPr>
            </w:pPr>
            <w:proofErr w:type="spellStart"/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Insuflator</w:t>
            </w:r>
            <w:proofErr w:type="spellEnd"/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 xml:space="preserve"> z dwoma zbiornikami gazu oraz uchwyt na dwie butle, każda o ciężarze do min. 18 [kg]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</w:pPr>
            <w:r w:rsidRPr="00981F21">
              <w:rPr>
                <w:rFonts w:ascii="Century Gothic" w:eastAsia="Andale Sans UI" w:hAnsi="Century Gothic" w:cs="Times New Roman"/>
                <w:kern w:val="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</w:pPr>
            <w:r w:rsidRPr="00981F21">
              <w:rPr>
                <w:rFonts w:ascii="Century Gothic" w:eastAsia="Andale Sans UI" w:hAnsi="Century Gothic" w:cs="Times New Roman"/>
                <w:kern w:val="2"/>
                <w:sz w:val="20"/>
                <w:szCs w:val="20"/>
                <w:lang w:eastAsia="fa-IR" w:bidi="fa-IR"/>
              </w:rPr>
              <w:t xml:space="preserve">- - - </w:t>
            </w:r>
          </w:p>
        </w:tc>
      </w:tr>
    </w:tbl>
    <w:p w:rsidR="00981F21" w:rsidRPr="00981F21" w:rsidRDefault="00981F21" w:rsidP="00981F21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981F21" w:rsidRPr="00981F21" w:rsidRDefault="00981F21" w:rsidP="00981F21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981F21" w:rsidRPr="00981F21" w:rsidRDefault="00981F21" w:rsidP="00981F21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81F21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981F21" w:rsidRPr="00981F21" w:rsidRDefault="00981F21" w:rsidP="00981F21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keepNext/>
              <w:numPr>
                <w:ilvl w:val="2"/>
                <w:numId w:val="2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Century Gothic" w:eastAsia="Andale Sans UI" w:hAnsi="Century Gothic" w:cs="Arial"/>
                <w:b/>
                <w:color w:val="000000" w:themeColor="text1"/>
                <w:spacing w:val="-3"/>
                <w:kern w:val="1"/>
                <w:sz w:val="20"/>
                <w:szCs w:val="20"/>
              </w:rPr>
            </w:pPr>
            <w:r w:rsidRPr="00981F21">
              <w:rPr>
                <w:rFonts w:ascii="Century Gothic" w:eastAsia="Andale Sans UI" w:hAnsi="Century Gothic" w:cs="Arial"/>
                <w:b/>
                <w:color w:val="000000" w:themeColor="text1"/>
                <w:spacing w:val="-3"/>
                <w:kern w:val="1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Times New Roman" w:hAnsi="Century Gothic" w:cs="Times New Roman"/>
                <w:color w:val="000000" w:themeColor="text1"/>
                <w:kern w:val="1"/>
                <w:sz w:val="16"/>
                <w:szCs w:val="16"/>
              </w:rPr>
            </w:pP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</w:t>
            </w: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urządzeniami peryferyjnymi (jeśli dotyczy)[liczba miesięcy]</w:t>
            </w:r>
          </w:p>
          <w:p w:rsidR="00981F21" w:rsidRPr="00981F21" w:rsidRDefault="00981F21" w:rsidP="00981F21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981F21" w:rsidRPr="00981F21" w:rsidRDefault="00981F21" w:rsidP="00981F21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981F21" w:rsidRPr="00981F21" w:rsidRDefault="00981F21" w:rsidP="00981F21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981F21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Inne – proporcjonalnie mniej względem najdłuższego okresu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981F21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Wszystkie czynności serwisowe, w tym ponowne podłączenie i uruchomienie sprzętu w miejscu wskazanym przez Zamawiającego oraz  przeglądy konserwacyjne, w okresie gwarancji </w:t>
            </w: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/>
              <w:jc w:val="both"/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81F21"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/>
              <w:jc w:val="both"/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81F21"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/>
              <w:jc w:val="both"/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81F21"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/>
              <w:jc w:val="both"/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81F21">
              <w:rPr>
                <w:rFonts w:ascii="Century Gothic" w:eastAsia="Andale Sans UI" w:hAnsi="Century Gothic" w:cs="Times New Roman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16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 w:rsidRPr="00981F21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981F21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81F21"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981F21" w:rsidRPr="00981F21" w:rsidRDefault="00981F21" w:rsidP="00981F21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81F21" w:rsidRPr="00981F21" w:rsidRDefault="00981F21" w:rsidP="00981F21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</w:t>
            </w: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 xml:space="preserve"> z kierownikiem pracowni,</w:t>
            </w:r>
          </w:p>
          <w:p w:rsidR="00981F21" w:rsidRPr="00981F21" w:rsidRDefault="00981F21" w:rsidP="00981F21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81F21" w:rsidRPr="00981F21" w:rsidTr="007B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numPr>
                <w:ilvl w:val="0"/>
                <w:numId w:val="3"/>
              </w:numPr>
              <w:spacing w:before="100" w:beforeAutospacing="1" w:after="100" w:afterAutospacing="1" w:line="288" w:lineRule="auto"/>
              <w:contextualSpacing/>
              <w:jc w:val="center"/>
              <w:rPr>
                <w:rFonts w:ascii="Century Gothic" w:eastAsia="Calibri" w:hAnsi="Century Gothic" w:cs="Times New Roman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21" w:rsidRPr="00981F21" w:rsidRDefault="00981F21" w:rsidP="00981F21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mycia i dezynfekcji poszczególnych </w:t>
            </w: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elementów aparatów w oparciu o przedstawione przez wykonawcę zalecane preparaty myjące i dezynfekujące.</w:t>
            </w:r>
          </w:p>
          <w:p w:rsidR="00981F21" w:rsidRPr="00981F21" w:rsidRDefault="00981F21" w:rsidP="00981F21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21" w:rsidRPr="00981F21" w:rsidRDefault="00981F21" w:rsidP="00981F2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 w:rsidRPr="00981F2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981F21" w:rsidRPr="00981F21" w:rsidRDefault="00981F21" w:rsidP="00981F21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981F21" w:rsidRPr="00981F21" w:rsidRDefault="00981F21" w:rsidP="00981F21">
      <w:pPr>
        <w:spacing w:after="0" w:line="288" w:lineRule="auto"/>
        <w:jc w:val="both"/>
        <w:rPr>
          <w:rFonts w:ascii="Century Gothic" w:hAnsi="Century Gothic"/>
          <w:b/>
        </w:rPr>
      </w:pPr>
    </w:p>
    <w:p w:rsidR="008871D6" w:rsidRDefault="008871D6"/>
    <w:sectPr w:rsidR="008871D6" w:rsidSect="00BE544B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28" w:rsidRDefault="008C6F28" w:rsidP="00BE544B">
      <w:pPr>
        <w:spacing w:after="0" w:line="240" w:lineRule="auto"/>
      </w:pPr>
      <w:r>
        <w:separator/>
      </w:r>
    </w:p>
  </w:endnote>
  <w:endnote w:type="continuationSeparator" w:id="0">
    <w:p w:rsidR="008C6F28" w:rsidRDefault="008C6F28" w:rsidP="00B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28" w:rsidRDefault="008C6F28" w:rsidP="00BE544B">
      <w:pPr>
        <w:spacing w:after="0" w:line="240" w:lineRule="auto"/>
      </w:pPr>
      <w:r>
        <w:separator/>
      </w:r>
    </w:p>
  </w:footnote>
  <w:footnote w:type="continuationSeparator" w:id="0">
    <w:p w:rsidR="008C6F28" w:rsidRDefault="008C6F28" w:rsidP="00B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4B" w:rsidRDefault="00BE544B" w:rsidP="00BE54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42787A" wp14:editId="4E14DDE6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13"/>
    <w:rsid w:val="00550F01"/>
    <w:rsid w:val="006A6DC7"/>
    <w:rsid w:val="007B2BFA"/>
    <w:rsid w:val="008871D6"/>
    <w:rsid w:val="008C0560"/>
    <w:rsid w:val="008C6F28"/>
    <w:rsid w:val="00981F21"/>
    <w:rsid w:val="00B34813"/>
    <w:rsid w:val="00BE544B"/>
    <w:rsid w:val="00D13C28"/>
    <w:rsid w:val="00E3617B"/>
    <w:rsid w:val="00E71BAE"/>
    <w:rsid w:val="00EB684E"/>
    <w:rsid w:val="00F8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81F21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81F21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1F21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81F2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81F21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44B"/>
  </w:style>
  <w:style w:type="paragraph" w:styleId="Stopka">
    <w:name w:val="footer"/>
    <w:basedOn w:val="Normalny"/>
    <w:link w:val="StopkaZnak"/>
    <w:uiPriority w:val="99"/>
    <w:unhideWhenUsed/>
    <w:rsid w:val="00B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44B"/>
  </w:style>
  <w:style w:type="paragraph" w:styleId="Tekstdymka">
    <w:name w:val="Balloon Text"/>
    <w:basedOn w:val="Normalny"/>
    <w:link w:val="TekstdymkaZnak"/>
    <w:uiPriority w:val="99"/>
    <w:semiHidden/>
    <w:unhideWhenUsed/>
    <w:rsid w:val="00BE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4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81F21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981F21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81F21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21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21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981F21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81F21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81F21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1F21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81F2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81F21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44B"/>
  </w:style>
  <w:style w:type="paragraph" w:styleId="Stopka">
    <w:name w:val="footer"/>
    <w:basedOn w:val="Normalny"/>
    <w:link w:val="StopkaZnak"/>
    <w:uiPriority w:val="99"/>
    <w:unhideWhenUsed/>
    <w:rsid w:val="00B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44B"/>
  </w:style>
  <w:style w:type="paragraph" w:styleId="Tekstdymka">
    <w:name w:val="Balloon Text"/>
    <w:basedOn w:val="Normalny"/>
    <w:link w:val="TekstdymkaZnak"/>
    <w:uiPriority w:val="99"/>
    <w:semiHidden/>
    <w:unhideWhenUsed/>
    <w:rsid w:val="00BE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4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81F21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981F21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81F21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21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21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981F2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1644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Anna Burszczan</cp:lastModifiedBy>
  <cp:revision>9</cp:revision>
  <dcterms:created xsi:type="dcterms:W3CDTF">2018-01-30T07:49:00Z</dcterms:created>
  <dcterms:modified xsi:type="dcterms:W3CDTF">2018-01-30T08:53:00Z</dcterms:modified>
</cp:coreProperties>
</file>