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7" w:rsidRPr="00ED2FC7" w:rsidRDefault="00ED2FC7" w:rsidP="00ED2FC7">
      <w:pPr>
        <w:widowControl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ED2FC7">
        <w:rPr>
          <w:rFonts w:ascii="Times New Roman" w:eastAsia="Times New Roman" w:hAnsi="Times New Roman" w:cs="Times New Roman"/>
          <w:b/>
          <w:kern w:val="3"/>
          <w:lang w:eastAsia="zh-CN"/>
        </w:rPr>
        <w:t>OPIS PRZEDMIOTU ZAMÓWIENIA</w:t>
      </w:r>
    </w:p>
    <w:p w:rsidR="0086665B" w:rsidRPr="00ED2FC7" w:rsidRDefault="0086665B" w:rsidP="0086665B">
      <w:pPr>
        <w:widowControl/>
        <w:spacing w:after="0" w:line="240" w:lineRule="auto"/>
        <w:rPr>
          <w:rFonts w:ascii="Times New Roman" w:eastAsia="Arial" w:hAnsi="Times New Roman" w:cs="Times New Roman"/>
          <w:b/>
          <w:kern w:val="2"/>
        </w:rPr>
      </w:pPr>
    </w:p>
    <w:p w:rsidR="00B2562C" w:rsidRDefault="00C759FA" w:rsidP="00866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</w:t>
      </w:r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ostawa aparatu RTG typu O-</w:t>
      </w:r>
      <w:proofErr w:type="spellStart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arm</w:t>
      </w:r>
      <w:proofErr w:type="spellEnd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 xml:space="preserve"> wraz z instalacją, uruchomieniem i szkoleniem personelu</w:t>
      </w:r>
    </w:p>
    <w:p w:rsidR="0086665B" w:rsidRDefault="0086665B" w:rsidP="0086665B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</w:t>
      </w:r>
      <w:r w:rsidR="00701A27">
        <w:rPr>
          <w:rFonts w:ascii="Century Gothic" w:hAnsi="Century Gothic"/>
          <w:sz w:val="18"/>
          <w:szCs w:val="18"/>
        </w:rPr>
        <w:t xml:space="preserve">i. Udzielenie odpowiedzi „nie” </w:t>
      </w:r>
      <w:r>
        <w:rPr>
          <w:rFonts w:ascii="Century Gothic" w:hAnsi="Century Gothic"/>
          <w:sz w:val="18"/>
          <w:szCs w:val="18"/>
        </w:rPr>
        <w:t>lub innej nie stanowiącej jednoznacznego potwierdzenia spełniania warunku będzie skutkowało odrzuceniem oferty.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575F8C" w:rsidRDefault="0086665B" w:rsidP="0086665B">
      <w:pPr>
        <w:widowControl/>
        <w:suppressAutoHyphens w:val="0"/>
      </w:pPr>
      <w:r>
        <w:br w:type="page"/>
      </w:r>
    </w:p>
    <w:p w:rsidR="00B2562C" w:rsidRPr="00B2562C" w:rsidRDefault="00B2562C" w:rsidP="005C4467">
      <w:pPr>
        <w:spacing w:after="0" w:line="240" w:lineRule="auto"/>
        <w:rPr>
          <w:rFonts w:ascii="Century Gothic" w:hAnsi="Century Gothic"/>
          <w:b/>
        </w:rPr>
      </w:pPr>
      <w:r w:rsidRPr="00B2562C">
        <w:rPr>
          <w:rFonts w:ascii="Century Gothic" w:hAnsi="Century Gothic"/>
          <w:b/>
        </w:rPr>
        <w:lastRenderedPageBreak/>
        <w:t>Parametry Techniczne i Eksploatacyjne</w:t>
      </w:r>
    </w:p>
    <w:tbl>
      <w:tblPr>
        <w:tblW w:w="1445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5257"/>
        <w:gridCol w:w="1559"/>
        <w:gridCol w:w="4678"/>
        <w:gridCol w:w="2409"/>
      </w:tblGrid>
      <w:tr w:rsidR="00FA298A" w:rsidRPr="00B2562C" w:rsidTr="00202C58">
        <w:tc>
          <w:tcPr>
            <w:tcW w:w="556" w:type="dxa"/>
            <w:shd w:val="clear" w:color="auto" w:fill="auto"/>
            <w:vAlign w:val="center"/>
          </w:tcPr>
          <w:p w:rsidR="00FA298A" w:rsidRPr="00FA298A" w:rsidRDefault="00FA298A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JEDNOSTKA GŁÓWNA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jazdy wspomaganej o prędkości min. 2,4 [km/h].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Niezależna jazda tylnych kół, sterowana uchwytem.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8879CF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pełni mobilny zmotoryzowany ruch aparatu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Sterowanie ruchów mechanicznych (minimalne zakresy ruchu z pozycji zadokowanej):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(góra/dół – „Y”); min.43,7 cm +/- 0,76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(do środka/na zewnątrz – „X”);- min. 45,7 +/- 076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(Translacja – „Z”); min.17,3 +/- 0.32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przechył rotacyjny  min. +/- 15 [º],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nachylenie rotacyjne min. +/- 45 [º].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  obrót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izocentryczny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+/- 12° względem obrazu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bocznego w trybie fluoroskopii.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E704CD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115 (+/- 5 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96 (+/- 5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Temperatura pracy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min. 10 – 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[°C]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Wymagane napięcie zasilania złącza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i/>
                <w:sz w:val="20"/>
                <w:szCs w:val="20"/>
              </w:rPr>
              <w:t>dopuszczalne wahania sieci zasilającej +/- 5 [%]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= 230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[V]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Interfejs komunikacji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 pełni kompatybilny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pacjenta, automatyczny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przesył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danych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 przez Szpital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S7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GENERATOR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HF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Moc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=&lt; 32[kW]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Zasilanie bateryjne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Fluoroskopia pulsacyjna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30 [puls/s]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Napięcie fluoroskopii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(40 – 120)</w:t>
            </w:r>
            <w:r w:rsidR="00BE488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kV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Zakres prądowy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lastRenderedPageBreak/>
              <w:t>min. (10 – 100) 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wyższa niż wymagana – 2 </w:t>
            </w: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pkt.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LAMPA RTG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małego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szerokość max 0,6 do 0,9[mm]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dużego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BE4889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FA298A" w:rsidRPr="006E39F8">
              <w:rPr>
                <w:rFonts w:ascii="Century Gothic" w:hAnsi="Century Gothic" w:cs="Arial"/>
                <w:sz w:val="20"/>
                <w:szCs w:val="20"/>
              </w:rPr>
              <w:t>zerokość max 1,2 do 1,7[mm]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anody lampy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min. 280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obudowy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min. 1250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Automatycznie sterowana optymalizacja dawki w trzech osiach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=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115 (+/- 5 %)[cm]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DETEKTOR CYFROWY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Flat Detektor - detektor cyfrowy, płytkowy, płaski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Rozdzielczość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3[MP]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detektora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30 x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40[cm] x 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Detektor umożlwiający wykonywania jednorazowych skanów z możliwością łączenia badań w jedną całość. 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Pole widzenia umożliwiające obrazowanie dużych obszarów anatomicznych (kręgosłup, kości długie, miednica) oraz wysokokontrastowych punktów lokalizatorów stereotaktycznych w trybie stereotaksji w zabiegach DBS.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PROCESSING I AKWIZYCJA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5 programów: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-set, ustawienie dolnych parametrów pracy i położenia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podczas operacji.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zatrzymania ostatniego zdjęcia - LIH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Cyfrowy obrót zdjęcia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sumarycznej dawce dla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2D (wygładzenie krawędzi, boków, automatyczna kontrola jasności, ROI - region of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intrest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3D:   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niskiej dawki - czas od startu badania do rekonstrukcji poniżej 90 [s],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standardowy (min. 700 zdjęć) - czas od startu badania do rekonstrukcji poniżej 30 [s].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voksela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3D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5C4467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min.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512 x 512 x 192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Rozmiar wewnętrznego dysku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250 [GB]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Protokół MIP, MPR, RDSR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Monitor LCD min. 30 ["] HD o rozdzielczości min. 2560 x 1600 [pikseli]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ARCHIWIZACJA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Archiwizacja na CD oraz port USB do archiwizacji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Wbudowany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interfejs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DICOM 3.0 (send,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recive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worklist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Wejście S-video,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VGA - możliwość komunikacji z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NAWIGACJA NEUROCHIRURGICZNA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Nawigacja  neurochirurgiczna w pełni kompatybilna z systemem O-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Arm</w:t>
            </w:r>
            <w:proofErr w:type="spellEnd"/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Dwa przewoźne stanowiska pracy: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- jedno stanowisko : Wózek/Stacja główna do planowania z komputerem pokładowym oraz monitorem dotykowym 27’’ ( rozdzielczość HD) z wysięgnikiem teleskopowym umieszczona na wózku jezdnym. Zest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>aw zawiera klawiaturę i myszkę.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drugie stanowisko : Wózek/Stacja z monitorem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dotykowym 27’’ ( rozdzi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elczość HD)  z kamerą optyczną.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Oba wózki połączone jednym kablem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komunikacyjno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zasilającym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Monitory  o minimalnych parametrach: 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rozdzielczość co najmniej 1920x1080,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przekątna ekran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 co najmniej 27 [”] z ekranem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dotykowym.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b/>
                <w:sz w:val="16"/>
                <w:szCs w:val="16"/>
              </w:rPr>
              <w:t>Oddzielna punktacja za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rozdzielczość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7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rozdzielczość wymagana – 1 pkt.,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przekątną ekranu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8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 obsługi (na wózku z kamerą) o minimalnej przekątnej co najmniej  27 [”]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wykorzystujący do lokalizacji technologię optyczną z możliwością rozbudowy o technologie  elektromagnetyczną  z emiterem płaskim i umieszczonym na ramieniu przegubowym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nawigacji obsługujący pasywny typ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Wózek z monitorem wyposażony w panel podłączeniowy pozwalający podłączyć źródła wideo np.: mikroskop, endoskop, rentgen, ultrasonograf.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Panel posiadający : 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DVI-D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1x Composite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1x S-Video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Złącze HDMI umożliwiające podłączenie np. zewnętrznego monitora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DVI-I (cyfrowo-analogowe)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niezależne złącze sieciowe do integracji z siecią komputerową szpitala i np. urządzeniami obrazowania śródoperacyjnego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6 x USB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Wi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-fi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E101CD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E101CD">
              <w:rPr>
                <w:rFonts w:ascii="Century Gothic" w:hAnsi="Century Gothic" w:cs="Arial"/>
                <w:sz w:val="20"/>
                <w:szCs w:val="20"/>
              </w:rPr>
              <w:t xml:space="preserve">System wyposażony w wysokowydajny komputer z wydajną kartą graficzną , system operacyjnym </w:t>
            </w:r>
            <w:proofErr w:type="spellStart"/>
            <w:r w:rsidRPr="00E101CD">
              <w:rPr>
                <w:rFonts w:ascii="Century Gothic" w:hAnsi="Century Gothic" w:cs="Arial"/>
                <w:sz w:val="20"/>
                <w:szCs w:val="20"/>
              </w:rPr>
              <w:t>Ubuntu</w:t>
            </w:r>
            <w:proofErr w:type="spellEnd"/>
            <w:r w:rsidR="00E101CD" w:rsidRPr="00E101CD">
              <w:rPr>
                <w:rFonts w:ascii="Century Gothic" w:hAnsi="Century Gothic" w:cs="Arial"/>
                <w:sz w:val="20"/>
                <w:szCs w:val="20"/>
              </w:rPr>
              <w:t xml:space="preserve"> (lub równoważny)</w:t>
            </w:r>
            <w:r w:rsidRPr="00E101CD">
              <w:rPr>
                <w:rFonts w:ascii="Century Gothic" w:hAnsi="Century Gothic" w:cs="Arial"/>
                <w:sz w:val="20"/>
                <w:szCs w:val="20"/>
              </w:rPr>
              <w:t xml:space="preserve">, 64 bit, 1 TB dysk SDD </w:t>
            </w:r>
          </w:p>
          <w:p w:rsidR="00FA298A" w:rsidRPr="00E101CD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E101CD">
              <w:rPr>
                <w:rFonts w:ascii="Century Gothic" w:hAnsi="Century Gothic" w:cs="Arial"/>
                <w:sz w:val="20"/>
                <w:szCs w:val="20"/>
              </w:rPr>
              <w:t>Komputer zabudowany w wózek z monitorem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E101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E101CD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E101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101C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Zestaw kamer do pozycjonowania markerów (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narzędzi) w czasie operacji – zasięg min. 120 [cm].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Kamera z celownikiem laserowym do pozycjonowania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Kamera z technologią aktywną obsługująca narzędzia aktywne kablowe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bezkablowe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oraz z technologią pasywną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Mysz i klawiatura – odłączane od systemu z możliwością posadowienia w specjalnie dedykowanej szufladzie.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Mysz i klawiatura z możliwością podłączenia do każdego z wózków z możliwością obsługi  dodatkowo i niezależnie obu  monitorów- wózków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Interfejs nawigacyjny systemu  w pełni obsługiwany dotykiem przez dwa niezależne monitory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zarejestrowania i modyfikacji trajektorii dojścia do każdego z obiektów dokonywanych w czasie nawigowania i ich zapisania w formacie JPG lub innym kompatybilnym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łączenia dwóch sposobów rejestracji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wykrywająca automatycznie znaczniki rejestracyjne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pacjenta poprzez obrys bez konieczności wskazywania ułożenia pacjenta poprzez dotykanie punktów.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dokładności rejestracji oraz błędzie punktu docelowego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na punkach anatomicznych – dowolna kolejność wskazań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poprzez obrysowanie, dostarczonym wskaźnikiem struktur anatomicznych głowy pacjenta bez konieczności stosowania markerów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Weryfikacja fuzji </w:t>
            </w:r>
            <w:r>
              <w:rPr>
                <w:rFonts w:ascii="Century Gothic" w:hAnsi="Century Gothic" w:cs="Arial"/>
                <w:sz w:val="20"/>
                <w:szCs w:val="20"/>
              </w:rPr>
              <w:t>przy pomocy minimum dwóch metod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: przezroczystość obrazu, porównanie dwóch obrazów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Interface umożliwiający w sposób swobodny dostosowanie procedury do potrzeb użytkownika w zakresie narzędzi i profilu zabiegu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założenia indywidualnego profilu użytkownika z przypisaniem odpowiednich procedur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zabezpieczający przed wykonaniem zabiegu nawigacji z badaniem TK lub MR niezgodnym z protokołem obrazowania wymaganym przez urządzenie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obrazujący ustawienie urządzeń peryferyjnych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weryfikacje połączeń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Funkcje przestrzennych rekonstrukcji 3D zdefiniowanego obszaru oraz możliwość jego przestrzennych rotacji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Obróbka obrazu 2D, co najmniej: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jasność, kontrast, zoom, rotacja, ustawienie transparentności fuzji obrazów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Ustawienie dowolnego rozkładu okien pomiędzy 3 płaszczyznami i 3D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Pomiar odległości punktów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kalibracji narzędzi chirurgicznych w czasie zabiegu operacyjnego,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Zapisywanie obrazów – zrzutów ekranu w formie kompatybilnej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Centrowanie wszystkich obrazów w oknach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Koniec narzędzia oznaczony na obrazie nawigacji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w 3 płaszczyznach przy pomocy krzyżyka lub punktu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rozkładzie narzędzia względem ramki referencyjnej wraz z dokładnością identyfikacji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Informacja na obrazie bieżącym widoczności narzędzia w polu operacyjnym 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>wraz z wyświetleniem jego nazwy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kształtu.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Zestaw do nawigacji operacji kręgosłupa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zestaw instrumentarium pozwalającego na przeprowadzenie procedur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nawigowalnych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obrębie kręgosłupa szyjnego ,  lędźwiowego oraz otwartych procedur w obrębie całego kręgosłupa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narzędziami do zabiegów w obrębie kręgosłupa będących w posiadaniu Szpitala (narzędzia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ramkę referencyjną mocowaną do talerza biodrowego, umożliwiająca wykonywanie procedur przezskórnych jak i z dostępu przedniego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oprogramowanie umożliwiające wykorzystanie sytemu do zabiegów w obrębie kręgosłupa w oparciu o badania CT, RTG, niezależnie oraz badań w oferowanym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Możliwość integracji z zaawansowanym obrazowaniem śródoperacyjnym 3D, z automatyczną rejestracją anatomicznych struktur 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pacjenta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zintegrowane zasilanie awaryjne pozwalające na pracę systemu przy awarii zasilania przez co najmniej 5 [min.]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umożliwiający wysyłanie sygnału video tożsamego z prezentowanym na ekranie do zewnętrznych odbiorników.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Stacja planowania leczenia – system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Niezależna stacja planowania zabiegów neurochirurgicznych, umożliwiająca planowanie zabiegów operacyjnych poza blokiem operacyjnym.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Stacja składająca się z komputera o mocy obliczeniowej i pojemności pamięci umożliwiającej obsługę systemu, monitora min. 24 ["] i innych elementów niezbędnych do pracy.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Oprogramowanie umożli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wiające import obrazów TK i MR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formacie Dicom3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Moduł importu obrazów w formacie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Dicom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Definiowanie poprzez obrysowanie co najmniej trzech celów/struktur anatomicznych, ich rekonstrukcje przestrzenne, wyznaczanie różnych trajektorii dotarcia w fazie planowania zabiegu.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Funkcje przestrzennych rekonstrukcji 3D zdefiniowanego obszaru oraz możliwości jego przestrzennych rotacji.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Zaoferowane oprogramowania z licencjami bezterminowymi i wielostanowiskowymi</w:t>
            </w:r>
          </w:p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Najnowsze dostępne wersje oraz minimum coroczna aktualizacja oprogramowania w trakcie trwania okresu gwarancji – licencja wielostanowiskowa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posiadanymi przez Szpital pasywnymi narzędziami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nawigowanymi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do zabiegów w obrębie głowy i kręgosłupa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lastRenderedPageBreak/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firmy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9E51AE" w:rsidRDefault="009E51AE" w:rsidP="005C4467">
      <w:pPr>
        <w:spacing w:after="0" w:line="240" w:lineRule="auto"/>
        <w:rPr>
          <w:rFonts w:ascii="Tahoma" w:hAnsi="Tahoma"/>
          <w:b/>
          <w:bCs/>
        </w:rPr>
      </w:pPr>
    </w:p>
    <w:p w:rsidR="009E51AE" w:rsidRPr="005C4467" w:rsidRDefault="009E51AE" w:rsidP="00B2562C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E51AE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559"/>
        <w:gridCol w:w="4678"/>
        <w:gridCol w:w="2409"/>
      </w:tblGrid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FA298A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B63CD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2562C" w:rsidRPr="00B13B55" w:rsidTr="002E0CD4">
        <w:trPr>
          <w:trHeight w:val="3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F8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pełnej, bez </w:t>
            </w:r>
            <w:proofErr w:type="spellStart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gwarancji dla wszystkich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 elementów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[liczba miesięcy]</w:t>
            </w:r>
          </w:p>
          <w:p w:rsidR="006E39F8" w:rsidRPr="003C5B3C" w:rsidRDefault="006E39F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 oferowanej gwarancji (min. 12 miesięcy) – wykonawca gwarantuje wykonanie min. 2 przeglądów w standardzie producenta</w:t>
            </w:r>
          </w:p>
          <w:p w:rsidR="00B2562C" w:rsidRPr="003C5B3C" w:rsidRDefault="00B2562C" w:rsidP="00202C58">
            <w:pPr>
              <w:spacing w:after="0" w:line="240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&gt;=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A0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B2562C" w:rsidRPr="005C1DC9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202C58" w:rsidTr="00C759FA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dostępności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części zamiennych [liczba lat] – min. 8 lat (peryferyjny sprzęt komputerowy – min. 5 lat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dopuszcza się wymianę na sprzęt lepszy od zaoferowanego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Przedłużenie okresu gwarancji o każdy dzień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B2562C" w:rsidTr="00C759FA">
        <w:trPr>
          <w:trHeight w:val="1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202C58" w:rsidTr="00C759FA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ponowne podłączenie i uruchomienie sprzętu w miejscu wskazanym przez Zamawiającego oraz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Zakończenie działań serwisowych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 dni roboczych od dnia zgłoszenia awarii,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lub udokumentowana/uprawdopodobniona dokumentami możliwość gwarancji realizacji wymogów stawianych w niniejszej specyfikacji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będzie/będą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pozbawion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haseł, kodów, blokad serwisowych, itp., które po upływie gwarancji utrudniałyby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Zamawiającemu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dostęp do opcji serwisowych lub naprawę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sprzętu/ów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RPr="00B13B55" w:rsidTr="00C759FA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Zamawiającego,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możliwość stałego wsparcia aplikacyjnego w początkowym (do 6  -</w:t>
            </w:r>
            <w:proofErr w:type="spellStart"/>
            <w:r w:rsidRPr="006E39F8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6E39F8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diagnostycznych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 (min. 3 osoby)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202C58" w:rsidRPr="003C5B3C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02C58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ustalonym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kierownikiem pracowni,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dodatkowe 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Tr="00C759FA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autoSpaceDE w:val="0"/>
              <w:snapToGrid w:val="0"/>
              <w:spacing w:after="0" w:line="240" w:lineRule="auto"/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Wykonawca w ramach dostawy sprzętu zobowiązuje się dostarczyć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komplet akcesoriów, okablowania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asortymentu niezbędnego do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–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elementów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UWAGA – zalecane środki powinny zawierać nazwy </w:t>
            </w: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związków chemicznych,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B2562C" w:rsidRDefault="00B2562C" w:rsidP="00B2562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  <w:bookmarkStart w:id="0" w:name="_GoBack"/>
      <w:bookmarkEnd w:id="0"/>
    </w:p>
    <w:sectPr w:rsidR="00B2562C" w:rsidSect="00FA298A">
      <w:headerReference w:type="default" r:id="rId8"/>
      <w:footerReference w:type="default" r:id="rId9"/>
      <w:pgSz w:w="16838" w:h="11906" w:orient="landscape"/>
      <w:pgMar w:top="2552" w:right="1417" w:bottom="1135" w:left="1417" w:header="426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20" w:rsidRDefault="00B75020" w:rsidP="00575F8C">
      <w:pPr>
        <w:spacing w:after="0" w:line="240" w:lineRule="auto"/>
      </w:pPr>
      <w:r>
        <w:separator/>
      </w:r>
    </w:p>
  </w:endnote>
  <w:endnote w:type="continuationSeparator" w:id="0">
    <w:p w:rsidR="00B75020" w:rsidRDefault="00B75020" w:rsidP="0057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464974"/>
      <w:docPartObj>
        <w:docPartGallery w:val="Page Numbers (Bottom of Page)"/>
        <w:docPartUnique/>
      </w:docPartObj>
    </w:sdtPr>
    <w:sdtEndPr/>
    <w:sdtContent>
      <w:p w:rsidR="002E0CD4" w:rsidRDefault="002E0CD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1CD">
          <w:rPr>
            <w:noProof/>
          </w:rPr>
          <w:t>17</w:t>
        </w:r>
        <w:r>
          <w:fldChar w:fldCharType="end"/>
        </w:r>
      </w:p>
      <w:p w:rsidR="002E0CD4" w:rsidRDefault="002E0CD4" w:rsidP="00701A27">
        <w:pPr>
          <w:pStyle w:val="Stopka"/>
          <w:jc w:val="right"/>
        </w:pP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2E0CD4" w:rsidRDefault="002E0CD4" w:rsidP="00701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20" w:rsidRDefault="00B75020" w:rsidP="00575F8C">
      <w:pPr>
        <w:spacing w:after="0" w:line="240" w:lineRule="auto"/>
      </w:pPr>
      <w:r>
        <w:separator/>
      </w:r>
    </w:p>
  </w:footnote>
  <w:footnote w:type="continuationSeparator" w:id="0">
    <w:p w:rsidR="00B75020" w:rsidRDefault="00B75020" w:rsidP="0057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D4" w:rsidRPr="00ED2FC7" w:rsidRDefault="002E0CD4" w:rsidP="00ED2FC7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D82A534" wp14:editId="5808913C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NSSU.DFP.271.4.2018.LS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3DD55E2"/>
    <w:multiLevelType w:val="hybridMultilevel"/>
    <w:tmpl w:val="F42A996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4AAB"/>
    <w:multiLevelType w:val="hybridMultilevel"/>
    <w:tmpl w:val="F67A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C40F3"/>
    <w:multiLevelType w:val="hybridMultilevel"/>
    <w:tmpl w:val="89749B10"/>
    <w:lvl w:ilvl="0" w:tplc="61BAB3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C0BF9"/>
    <w:multiLevelType w:val="hybridMultilevel"/>
    <w:tmpl w:val="2E804B7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5415616B"/>
    <w:multiLevelType w:val="hybridMultilevel"/>
    <w:tmpl w:val="3F4EF12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D6"/>
    <w:rsid w:val="0007008B"/>
    <w:rsid w:val="00071569"/>
    <w:rsid w:val="000C0DA8"/>
    <w:rsid w:val="000C4571"/>
    <w:rsid w:val="00116E9D"/>
    <w:rsid w:val="0018387D"/>
    <w:rsid w:val="001C5755"/>
    <w:rsid w:val="00202C58"/>
    <w:rsid w:val="002B63CD"/>
    <w:rsid w:val="002E0CD4"/>
    <w:rsid w:val="00312BE9"/>
    <w:rsid w:val="00386BDE"/>
    <w:rsid w:val="00394CD8"/>
    <w:rsid w:val="003A23A0"/>
    <w:rsid w:val="00467C91"/>
    <w:rsid w:val="004A4CD1"/>
    <w:rsid w:val="00575F8C"/>
    <w:rsid w:val="005B5615"/>
    <w:rsid w:val="005C4467"/>
    <w:rsid w:val="005F0C8B"/>
    <w:rsid w:val="0061618A"/>
    <w:rsid w:val="006A5B80"/>
    <w:rsid w:val="006B4138"/>
    <w:rsid w:val="006E39F8"/>
    <w:rsid w:val="00701A27"/>
    <w:rsid w:val="0086665B"/>
    <w:rsid w:val="008703C1"/>
    <w:rsid w:val="00871B55"/>
    <w:rsid w:val="00876A25"/>
    <w:rsid w:val="00960510"/>
    <w:rsid w:val="009E51AE"/>
    <w:rsid w:val="00B248F5"/>
    <w:rsid w:val="00B2562C"/>
    <w:rsid w:val="00B26B02"/>
    <w:rsid w:val="00B75020"/>
    <w:rsid w:val="00B86193"/>
    <w:rsid w:val="00BB7EEE"/>
    <w:rsid w:val="00BE4889"/>
    <w:rsid w:val="00BE72B7"/>
    <w:rsid w:val="00C57DCB"/>
    <w:rsid w:val="00C759FA"/>
    <w:rsid w:val="00D532D6"/>
    <w:rsid w:val="00E101CD"/>
    <w:rsid w:val="00E35E46"/>
    <w:rsid w:val="00E9462B"/>
    <w:rsid w:val="00ED2FC7"/>
    <w:rsid w:val="00F1455B"/>
    <w:rsid w:val="00F51C5C"/>
    <w:rsid w:val="00F5230D"/>
    <w:rsid w:val="00FA298A"/>
    <w:rsid w:val="00FA3C3F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10</cp:revision>
  <cp:lastPrinted>2018-01-25T07:37:00Z</cp:lastPrinted>
  <dcterms:created xsi:type="dcterms:W3CDTF">2018-01-26T08:59:00Z</dcterms:created>
  <dcterms:modified xsi:type="dcterms:W3CDTF">2018-01-30T08:43:00Z</dcterms:modified>
</cp:coreProperties>
</file>