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DD" w:rsidRPr="00814F28" w:rsidRDefault="00154DA6" w:rsidP="00DB4820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3A6FDD" w:rsidRPr="00814F28">
        <w:rPr>
          <w:rFonts w:ascii="Century Gothic" w:hAnsi="Century Gothic"/>
          <w:sz w:val="18"/>
          <w:szCs w:val="18"/>
        </w:rPr>
        <w:t>OPIS PRZEDMIOTU ZAMÓWIENIA</w:t>
      </w:r>
      <w:r w:rsidR="003A6FDD">
        <w:rPr>
          <w:rFonts w:ascii="Century Gothic" w:hAnsi="Century Gothic"/>
          <w:sz w:val="18"/>
          <w:szCs w:val="18"/>
        </w:rPr>
        <w:tab/>
      </w:r>
    </w:p>
    <w:p w:rsidR="00DB4820" w:rsidRDefault="00DB4820" w:rsidP="00DB4820">
      <w:pPr>
        <w:spacing w:after="0" w:line="240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5.</w:t>
      </w:r>
    </w:p>
    <w:p w:rsidR="00DB4820" w:rsidRDefault="003A6FDD" w:rsidP="00DB4820">
      <w:pPr>
        <w:tabs>
          <w:tab w:val="center" w:pos="6096"/>
          <w:tab w:val="left" w:pos="12191"/>
        </w:tabs>
        <w:spacing w:after="0" w:line="240" w:lineRule="auto"/>
        <w:ind w:left="5387" w:hanging="2268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</w:t>
      </w:r>
    </w:p>
    <w:p w:rsidR="003A6FDD" w:rsidRPr="00814F28" w:rsidRDefault="003A6FDD" w:rsidP="00DB4820">
      <w:pPr>
        <w:tabs>
          <w:tab w:val="center" w:pos="6096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Aparat do </w:t>
      </w:r>
      <w:r w:rsidR="00154DA6">
        <w:rPr>
          <w:rFonts w:ascii="Century Gothic" w:hAnsi="Century Gothic" w:cs="Times New Roman"/>
          <w:b/>
          <w:sz w:val="18"/>
          <w:szCs w:val="18"/>
        </w:rPr>
        <w:t>kompresji klatki piersiowej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154DA6">
        <w:rPr>
          <w:rFonts w:ascii="Century Gothic" w:hAnsi="Century Gothic" w:cs="Times New Roman"/>
          <w:b/>
          <w:sz w:val="18"/>
          <w:szCs w:val="18"/>
        </w:rPr>
        <w:t>2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DB4820" w:rsidRPr="00093CB2" w:rsidTr="007C2DFF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B4820" w:rsidRPr="00093CB2" w:rsidRDefault="00DB4820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4820" w:rsidRPr="00093CB2" w:rsidRDefault="00DB4820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4820" w:rsidRPr="00093CB2" w:rsidRDefault="00DB4820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4820" w:rsidRPr="00093CB2" w:rsidRDefault="00DB4820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DB4820" w:rsidRPr="00DB4820" w:rsidTr="007C2DFF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B4820" w:rsidRPr="00DB4820" w:rsidRDefault="00DB4820" w:rsidP="007C2DFF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DB4820">
              <w:rPr>
                <w:rFonts w:ascii="Garamond" w:hAnsi="Garamond" w:cs="Times New Roman"/>
                <w:b/>
              </w:rPr>
              <w:t>Aparat do kompresji klatki piersiowej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B4820" w:rsidRPr="00DB4820" w:rsidRDefault="00DB4820" w:rsidP="007C2DFF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DB4820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20" w:rsidRPr="00DB4820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20" w:rsidRPr="00DB4820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4820" w:rsidRPr="00093CB2" w:rsidRDefault="00DB4820" w:rsidP="00DB4820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DB4820" w:rsidRPr="00093CB2" w:rsidTr="007C2DFF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DB4820" w:rsidRPr="00093CB2" w:rsidTr="007C2DFF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4820" w:rsidRPr="00093CB2" w:rsidRDefault="00DB4820" w:rsidP="00DB4820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DB4820" w:rsidRPr="00093CB2" w:rsidTr="007C2DFF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DB4820" w:rsidRPr="00093CB2" w:rsidTr="007C2DFF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820" w:rsidRPr="00093CB2" w:rsidRDefault="00DB4820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4820" w:rsidRPr="00093CB2" w:rsidRDefault="00DB4820" w:rsidP="00DB4820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DB4820" w:rsidRPr="00093CB2" w:rsidTr="007C2DFF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4820" w:rsidRPr="00093CB2" w:rsidRDefault="00DB4820" w:rsidP="007C2DFF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4820" w:rsidRPr="00093CB2" w:rsidRDefault="00DB4820" w:rsidP="007C2DFF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bookmarkStart w:id="0" w:name="_GoBack"/>
      <w:bookmarkEnd w:id="0"/>
    </w:p>
    <w:p w:rsidR="00DB4820" w:rsidRDefault="00DB4820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3A6FDD" w:rsidRPr="00814F28" w:rsidTr="001D2D8A">
        <w:tc>
          <w:tcPr>
            <w:tcW w:w="709" w:type="dxa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E56A2F" w:rsidRDefault="003C2FCA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do automatycznej resuscytacji krążeniowej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E56A2F" w:rsidRDefault="00CE4008" w:rsidP="00CE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Minimum</w:t>
            </w:r>
            <w:r w:rsidR="003C2FCA"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100 ucisków na minutę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3D40CF" w:rsidRDefault="003C2FCA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Akumulator wielokrotnego ładowania działający min. 45 minut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Default="00CE400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45 – 60 min. – 0 pkt.;</w:t>
            </w:r>
          </w:p>
          <w:p w:rsidR="00CE4008" w:rsidRPr="00814F28" w:rsidRDefault="00CE400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&gt;60 min. – 3 pkt.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814F28" w:rsidRDefault="003C2FCA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wykonujący zabieg ciągłego uciskania klatki piersiowej ze stałą częstotliwością i siłą zgodną z wytycznymi, w celu przywrócenia naturalnego krążenia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814F28" w:rsidRDefault="003C2FCA" w:rsidP="00CE40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działający w trybie 30:2 lub w trybie ciągłym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814F28" w:rsidRDefault="003C2FCA" w:rsidP="00CE40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Źródło zasilania: bateria do ponownego ładowania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814F28" w:rsidRDefault="003C2FCA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Możliwość wykonywania ciągłej, nieprzerwanej kompresji w trakcie transportu pacjenta przy zasilaniu z akumulatora </w:t>
            </w:r>
            <w:r w:rsidR="00CE40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min. 30 min.  o</w:t>
            </w: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raz dodatkowo w warunkach stacjonarnych bez ograniczeń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CE4008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Default="00CE400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:rsidR="00CE4008" w:rsidRPr="00814F28" w:rsidRDefault="00CE400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3A6FDD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814F28" w:rsidRDefault="003A6FDD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FDD" w:rsidRPr="00814F28" w:rsidRDefault="003C2FCA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C2FC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wykonania defibrylacji bez konieczności zdejmowania urządzenia z pacjenta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C860A4" w:rsidRDefault="00C860A4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7B" w:rsidRDefault="00DE0F7B" w:rsidP="002B10C5">
      <w:pPr>
        <w:spacing w:after="0" w:line="240" w:lineRule="auto"/>
      </w:pPr>
      <w:r>
        <w:separator/>
      </w:r>
    </w:p>
  </w:endnote>
  <w:endnote w:type="continuationSeparator" w:id="0">
    <w:p w:rsidR="00DE0F7B" w:rsidRDefault="00DE0F7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DB4820" w:rsidRDefault="00DB4820" w:rsidP="00DB4820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20">
          <w:rPr>
            <w:noProof/>
          </w:rPr>
          <w:t>7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7B" w:rsidRDefault="00DE0F7B" w:rsidP="002B10C5">
      <w:pPr>
        <w:spacing w:after="0" w:line="240" w:lineRule="auto"/>
      </w:pPr>
      <w:r>
        <w:separator/>
      </w:r>
    </w:p>
  </w:footnote>
  <w:footnote w:type="continuationSeparator" w:id="0">
    <w:p w:rsidR="00DE0F7B" w:rsidRDefault="00DE0F7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4820" w:rsidRDefault="00DB4820" w:rsidP="00DB4820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DB4820" w:rsidRPr="00DB4820" w:rsidRDefault="00DB4820" w:rsidP="00DB4820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B4820"/>
    <w:rsid w:val="00DC7F16"/>
    <w:rsid w:val="00DE0F7B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3C955"/>
  <w15:docId w15:val="{EA5BF6D7-5B9B-4167-9731-89232352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DBDE-83FE-42B9-B878-BD28915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4</cp:revision>
  <cp:lastPrinted>2019-03-01T09:42:00Z</cp:lastPrinted>
  <dcterms:created xsi:type="dcterms:W3CDTF">2019-03-20T13:34:00Z</dcterms:created>
  <dcterms:modified xsi:type="dcterms:W3CDTF">2019-04-04T08:11:00Z</dcterms:modified>
</cp:coreProperties>
</file>