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3D8F6F4" w14:textId="77777777" w:rsidR="00422218" w:rsidRPr="00FF4BF5" w:rsidRDefault="00422218" w:rsidP="00422218">
      <w:pPr>
        <w:pStyle w:val="Tytu"/>
        <w:spacing w:line="288" w:lineRule="auto"/>
        <w:rPr>
          <w:rFonts w:ascii="Century Gothic" w:hAnsi="Century Gothic"/>
          <w:sz w:val="20"/>
          <w:szCs w:val="20"/>
        </w:rPr>
      </w:pPr>
      <w:r w:rsidRPr="00FF4BF5">
        <w:rPr>
          <w:rFonts w:ascii="Century Gothic" w:hAnsi="Century Gothic"/>
          <w:sz w:val="20"/>
          <w:szCs w:val="20"/>
        </w:rPr>
        <w:t>OPIS PRZEDMIOTU ZAMÓWIENIA</w:t>
      </w:r>
    </w:p>
    <w:p w14:paraId="46F4C034" w14:textId="1A90684D" w:rsidR="00344A58" w:rsidRDefault="00C06A7C" w:rsidP="006B5752">
      <w:pPr>
        <w:pStyle w:val="Skrconyadreszwrotny"/>
        <w:spacing w:before="100" w:beforeAutospacing="1" w:after="100" w:afterAutospacing="1" w:line="288" w:lineRule="auto"/>
        <w:jc w:val="center"/>
        <w:rPr>
          <w:rFonts w:ascii="Century Gothic" w:hAnsi="Century Gothic"/>
          <w:b/>
          <w:sz w:val="20"/>
        </w:rPr>
      </w:pPr>
      <w:r>
        <w:rPr>
          <w:rFonts w:ascii="Century Gothic" w:hAnsi="Century Gothic"/>
          <w:b/>
          <w:sz w:val="20"/>
        </w:rPr>
        <w:t>Część</w:t>
      </w:r>
      <w:r w:rsidR="00344A58" w:rsidRPr="00344A58">
        <w:rPr>
          <w:rFonts w:ascii="Century Gothic" w:hAnsi="Century Gothic"/>
          <w:b/>
          <w:sz w:val="20"/>
        </w:rPr>
        <w:t xml:space="preserve"> nr 2 - Infuzja SOR</w:t>
      </w:r>
    </w:p>
    <w:p w14:paraId="473C7553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Uwagi i objaśnienia:</w:t>
      </w:r>
    </w:p>
    <w:p w14:paraId="756DBC74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Parametry określone jako „tak” są parametrami granicznymi. Udzielenie odpowiedzi „nie”  lub innej nie stanowiącej jednoznacznego potwierdzenia spełniania warunku będzie skutkowało odrzuceniem oferty.</w:t>
      </w:r>
    </w:p>
    <w:p w14:paraId="0DE39D0A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Parametry o określonych warunkach liczbowych ( „&gt;=”  lub „=&lt;” ) są warunkami granicznymi, których niespełnienie spowoduje odrzucenie oferty. Wartość podana przy znaku  „=” oznacza wartość wymaganą.</w:t>
      </w:r>
    </w:p>
    <w:p w14:paraId="700C3583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Brak odpowiedzi w przypadku pozostałych warunków, punktowany będzie jako 0.</w:t>
      </w:r>
    </w:p>
    <w:p w14:paraId="1F6DDB3A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Wykonawca zobowiązany jest do podania parametrów w jednostkach wskazanych w niniejszym opisie,</w:t>
      </w:r>
    </w:p>
    <w:p w14:paraId="548004A1" w14:textId="77777777" w:rsidR="0097030B" w:rsidRPr="00FF4BF5" w:rsidRDefault="0097030B" w:rsidP="0097030B">
      <w:pPr>
        <w:pStyle w:val="Skrconyadreszwrotny"/>
        <w:numPr>
          <w:ilvl w:val="0"/>
          <w:numId w:val="2"/>
        </w:numPr>
        <w:spacing w:before="100" w:beforeAutospacing="1" w:after="100" w:afterAutospacing="1" w:line="288" w:lineRule="auto"/>
        <w:ind w:left="0" w:firstLine="0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Wykonawca gwarantuje niniejszym, że sprzęt jest fabrycznie nowy (rok produkcji 2018) nie jest rekondycjonowany, używany, powystawowy,  jest kompletny i do jego uruchomienia oraz stosowania zgodnie z przeznaczeniem nie jest konieczny zakup dodatkowych elementów i akcesoriów.</w:t>
      </w:r>
    </w:p>
    <w:p w14:paraId="4E3E760B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Nazwa i typ: .............................................................</w:t>
      </w:r>
    </w:p>
    <w:p w14:paraId="4D4370DE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jc w:val="both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Producent: ........................................................</w:t>
      </w:r>
    </w:p>
    <w:p w14:paraId="2F4DCB91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Kraj produkcji: ...............................................................</w:t>
      </w:r>
    </w:p>
    <w:p w14:paraId="56874820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Rok produkcji: .......................</w:t>
      </w:r>
    </w:p>
    <w:p w14:paraId="1EE6D449" w14:textId="77777777" w:rsidR="0097030B" w:rsidRPr="00FF4BF5" w:rsidRDefault="0097030B" w:rsidP="0097030B">
      <w:pPr>
        <w:pStyle w:val="Skrconyadreszwrotny"/>
        <w:spacing w:before="100" w:beforeAutospacing="1" w:after="100" w:afterAutospacing="1" w:line="288" w:lineRule="auto"/>
        <w:rPr>
          <w:rFonts w:ascii="Century Gothic" w:hAnsi="Century Gothic"/>
          <w:sz w:val="20"/>
        </w:rPr>
      </w:pPr>
      <w:r w:rsidRPr="00FF4BF5">
        <w:rPr>
          <w:rFonts w:ascii="Century Gothic" w:hAnsi="Century Gothic"/>
          <w:sz w:val="20"/>
        </w:rPr>
        <w:t>Klasa wyrobu medycznego: ...............</w:t>
      </w:r>
    </w:p>
    <w:p w14:paraId="1F98FFA4" w14:textId="77777777" w:rsidR="005979A3" w:rsidRDefault="005979A3">
      <w:pPr>
        <w:suppressAutoHyphens w:val="0"/>
        <w:spacing w:after="200"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7"/>
        <w:gridCol w:w="502"/>
        <w:gridCol w:w="5528"/>
        <w:gridCol w:w="851"/>
        <w:gridCol w:w="162"/>
        <w:gridCol w:w="2389"/>
        <w:gridCol w:w="4435"/>
      </w:tblGrid>
      <w:tr w:rsidR="00124838" w:rsidRPr="00FF4BF5" w14:paraId="698D837B" w14:textId="77777777" w:rsidTr="008D6B7F">
        <w:trPr>
          <w:trHeight w:val="640"/>
        </w:trPr>
        <w:tc>
          <w:tcPr>
            <w:tcW w:w="14074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EB91D8D" w14:textId="77777777" w:rsidR="00124838" w:rsidRPr="003C130B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  <w:r>
              <w:rPr>
                <w:rFonts w:ascii="Century Gothic" w:hAnsi="Century Gothic" w:cs="Calibri"/>
                <w:lang w:eastAsia="pl-PL"/>
              </w:rPr>
              <w:lastRenderedPageBreak/>
              <w:t> </w:t>
            </w:r>
            <w:r w:rsidRPr="00FF4BF5">
              <w:rPr>
                <w:rFonts w:ascii="Century Gothic" w:hAnsi="Century Gothic"/>
                <w:b/>
                <w:sz w:val="20"/>
                <w:szCs w:val="20"/>
                <w:lang w:eastAsia="pl-PL"/>
              </w:rPr>
              <w:t>ZAMÓWIENIE PODSTAWOWE:</w:t>
            </w:r>
          </w:p>
          <w:p w14:paraId="3EAF639E" w14:textId="77777777" w:rsidR="00124838" w:rsidRPr="00DB32A3" w:rsidRDefault="00124838" w:rsidP="008D6B7F">
            <w:pPr>
              <w:ind w:hanging="129"/>
              <w:rPr>
                <w:rFonts w:ascii="Century Gothic" w:hAnsi="Century Gothic"/>
                <w:b/>
                <w:sz w:val="20"/>
                <w:szCs w:val="20"/>
                <w:lang w:eastAsia="pl-PL"/>
              </w:rPr>
            </w:pPr>
          </w:p>
        </w:tc>
      </w:tr>
      <w:tr w:rsidR="00124838" w:rsidRPr="00FF4BF5" w14:paraId="1CEA7B67" w14:textId="77777777" w:rsidTr="008D6B7F">
        <w:trPr>
          <w:trHeight w:val="705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F9F2C7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A81E" w14:textId="77777777" w:rsidR="00124838" w:rsidRPr="00FF4BF5" w:rsidRDefault="00124838" w:rsidP="008D6B7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B5490F" w14:textId="77777777" w:rsidR="00124838" w:rsidRPr="00FF4BF5" w:rsidRDefault="00124838" w:rsidP="008D6B7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C0AD33" w14:textId="77777777" w:rsidR="00124838" w:rsidRPr="00FF4BF5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Liczba sztuk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154D3" w14:textId="77777777" w:rsidR="00124838" w:rsidRPr="00FF4BF5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DB32A3">
              <w:rPr>
                <w:rFonts w:ascii="Century Gothic" w:hAnsi="Century Gothic" w:cs="Calibri"/>
                <w:sz w:val="20"/>
                <w:szCs w:val="20"/>
                <w:lang w:eastAsia="pl-PL"/>
              </w:rPr>
              <w:t>Cena jednostkowa brutto sprzętu (w zł)</w:t>
            </w:r>
          </w:p>
        </w:tc>
        <w:tc>
          <w:tcPr>
            <w:tcW w:w="4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DFC738" w14:textId="77777777" w:rsidR="00124838" w:rsidRPr="00FF4BF5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>Cena brutto</w:t>
            </w: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sprzętu w pozycjach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(w zł)</w:t>
            </w:r>
          </w:p>
        </w:tc>
      </w:tr>
      <w:tr w:rsidR="00124838" w:rsidRPr="00FF4BF5" w14:paraId="4742F8A4" w14:textId="77777777" w:rsidTr="008D6B7F">
        <w:trPr>
          <w:trHeight w:val="624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8CD08B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13867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95231" w14:textId="72072296" w:rsidR="00124838" w:rsidRPr="00665F92" w:rsidRDefault="00124838" w:rsidP="008D6B7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24838">
              <w:rPr>
                <w:rFonts w:ascii="Century Gothic" w:hAnsi="Century Gothic"/>
                <w:sz w:val="20"/>
              </w:rPr>
              <w:t>Infuzja SOR</w:t>
            </w:r>
            <w:r>
              <w:rPr>
                <w:rFonts w:ascii="Century Gothic" w:hAnsi="Century Gothic"/>
                <w:sz w:val="20"/>
              </w:rPr>
              <w:t>:</w:t>
            </w:r>
          </w:p>
        </w:tc>
      </w:tr>
      <w:tr w:rsidR="00124838" w:rsidRPr="00665F92" w14:paraId="43909082" w14:textId="77777777" w:rsidTr="008D6B7F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49996C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FA903" w14:textId="77777777" w:rsidR="00124838" w:rsidRPr="00FF4BF5" w:rsidRDefault="00124838" w:rsidP="008D6B7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1.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3BDC5" w14:textId="62532CD5" w:rsidR="00124838" w:rsidRPr="00665F92" w:rsidRDefault="00124838" w:rsidP="008D6B7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4439EF">
              <w:rPr>
                <w:rFonts w:ascii="Century Gothic" w:hAnsi="Century Gothic"/>
                <w:sz w:val="20"/>
              </w:rPr>
              <w:t>Pompy strzykawkowe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3F4C6" w14:textId="1217C836" w:rsidR="00124838" w:rsidRPr="00665F92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4439EF">
              <w:rPr>
                <w:rFonts w:ascii="Century Gothic" w:hAnsi="Century Gothic"/>
                <w:sz w:val="20"/>
              </w:rPr>
              <w:t>105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F23156" w14:textId="77777777" w:rsidR="00124838" w:rsidRPr="00665F92" w:rsidRDefault="00124838" w:rsidP="008D6B7F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B8F2D" w14:textId="77777777" w:rsidR="00124838" w:rsidRPr="00665F92" w:rsidRDefault="00124838" w:rsidP="008D6B7F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124838" w:rsidRPr="00665F92" w14:paraId="0AAB1821" w14:textId="77777777" w:rsidTr="008D6B7F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498EE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BA3CC" w14:textId="77777777" w:rsidR="00124838" w:rsidRDefault="00124838" w:rsidP="008D6B7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7B1EE" w14:textId="058F74D0" w:rsidR="00124838" w:rsidRPr="00665F92" w:rsidRDefault="00124838" w:rsidP="008D6B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P</w:t>
            </w:r>
            <w:r w:rsidRPr="004439EF">
              <w:rPr>
                <w:rFonts w:ascii="Century Gothic" w:hAnsi="Century Gothic"/>
                <w:sz w:val="20"/>
              </w:rPr>
              <w:t>ompy objętościowe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1FC29" w14:textId="50CB77E1" w:rsidR="00124838" w:rsidRPr="00665F92" w:rsidRDefault="00124838" w:rsidP="008D6B7F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4439EF">
              <w:rPr>
                <w:rFonts w:ascii="Century Gothic" w:hAnsi="Century Gothic"/>
                <w:sz w:val="20"/>
              </w:rPr>
              <w:t>35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37EBE" w14:textId="77777777" w:rsidR="00124838" w:rsidRPr="00665F92" w:rsidRDefault="00124838" w:rsidP="008D6B7F">
            <w:pPr>
              <w:jc w:val="center"/>
              <w:rPr>
                <w:rFonts w:ascii="Century Gothic" w:hAnsi="Century Gothic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234A9" w14:textId="77777777" w:rsidR="00124838" w:rsidRPr="00665F92" w:rsidRDefault="00124838" w:rsidP="008D6B7F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124838" w:rsidRPr="00665F92" w14:paraId="37F1FFFF" w14:textId="77777777" w:rsidTr="008D6B7F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C97092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06EED" w14:textId="77777777" w:rsidR="00124838" w:rsidRDefault="00124838" w:rsidP="008D6B7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C446D" w14:textId="562EC46B" w:rsidR="00124838" w:rsidRPr="00665F92" w:rsidRDefault="00124838" w:rsidP="008D6B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S</w:t>
            </w:r>
            <w:r w:rsidRPr="004439EF">
              <w:rPr>
                <w:rFonts w:ascii="Century Gothic" w:hAnsi="Century Gothic"/>
                <w:sz w:val="20"/>
              </w:rPr>
              <w:t>tacja 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9EAA1" w14:textId="2ADA9E96" w:rsidR="00124838" w:rsidRPr="00665F92" w:rsidRDefault="00124838" w:rsidP="008D6B7F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4439EF">
              <w:rPr>
                <w:rFonts w:ascii="Century Gothic" w:hAnsi="Century Gothic"/>
                <w:sz w:val="20"/>
              </w:rPr>
              <w:t>30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EB04F1" w14:textId="77777777" w:rsidR="00124838" w:rsidRPr="00665F92" w:rsidRDefault="00124838" w:rsidP="008D6B7F">
            <w:pPr>
              <w:jc w:val="center"/>
              <w:rPr>
                <w:rFonts w:ascii="Century Gothic" w:hAnsi="Century Gothic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98577" w14:textId="77777777" w:rsidR="00124838" w:rsidRPr="00665F92" w:rsidRDefault="00124838" w:rsidP="008D6B7F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124838" w:rsidRPr="00665F92" w14:paraId="3EC00FF6" w14:textId="77777777" w:rsidTr="008D6B7F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F6A457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B7B1D" w14:textId="77777777" w:rsidR="00124838" w:rsidRDefault="00124838" w:rsidP="008D6B7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EFBBF" w14:textId="1FA28F5E" w:rsidR="00124838" w:rsidRPr="00665F92" w:rsidRDefault="00124838" w:rsidP="008D6B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</w:rPr>
              <w:t>S</w:t>
            </w:r>
            <w:r w:rsidRPr="004439EF">
              <w:rPr>
                <w:rFonts w:ascii="Century Gothic" w:hAnsi="Century Gothic"/>
                <w:sz w:val="20"/>
              </w:rPr>
              <w:t>tojak na stację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CC406" w14:textId="7DF2DDDB" w:rsidR="00124838" w:rsidRPr="00665F92" w:rsidRDefault="00124838" w:rsidP="008D6B7F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4439EF">
              <w:rPr>
                <w:rFonts w:ascii="Century Gothic" w:hAnsi="Century Gothic"/>
                <w:sz w:val="20"/>
              </w:rPr>
              <w:t>10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FAC3" w14:textId="77777777" w:rsidR="00124838" w:rsidRPr="00665F92" w:rsidRDefault="00124838" w:rsidP="008D6B7F">
            <w:pPr>
              <w:jc w:val="center"/>
              <w:rPr>
                <w:rFonts w:ascii="Century Gothic" w:hAnsi="Century Gothic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8E9DA" w14:textId="77777777" w:rsidR="00124838" w:rsidRPr="00665F92" w:rsidRDefault="00124838" w:rsidP="008D6B7F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124838" w:rsidRPr="00665F92" w14:paraId="38DD55E8" w14:textId="77777777" w:rsidTr="008D6B7F">
        <w:trPr>
          <w:trHeight w:hRule="exact" w:val="5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119F2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D40FE" w14:textId="77777777" w:rsidR="00124838" w:rsidRDefault="00124838" w:rsidP="008D6B7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5.</w:t>
            </w:r>
          </w:p>
        </w:tc>
        <w:tc>
          <w:tcPr>
            <w:tcW w:w="55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730F37" w14:textId="5AE445A3" w:rsidR="00124838" w:rsidRPr="00665F92" w:rsidRDefault="00124838" w:rsidP="008D6B7F">
            <w:pPr>
              <w:rPr>
                <w:rFonts w:ascii="Century Gothic" w:hAnsi="Century Gothic"/>
                <w:sz w:val="20"/>
                <w:szCs w:val="20"/>
              </w:rPr>
            </w:pPr>
            <w:r w:rsidRPr="004439EF">
              <w:rPr>
                <w:rFonts w:ascii="Century Gothic" w:hAnsi="Century Gothic"/>
                <w:sz w:val="20"/>
              </w:rPr>
              <w:t>Stojak na pompy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B7AA3" w14:textId="6345951B" w:rsidR="00124838" w:rsidRPr="00665F92" w:rsidRDefault="00124838" w:rsidP="008D6B7F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4439EF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C87E6" w14:textId="77777777" w:rsidR="00124838" w:rsidRPr="00665F92" w:rsidRDefault="00124838" w:rsidP="008D6B7F">
            <w:pPr>
              <w:jc w:val="center"/>
              <w:rPr>
                <w:rFonts w:ascii="Century Gothic" w:hAnsi="Century Gothic" w:cs="Calibri"/>
                <w:bCs/>
                <w:sz w:val="22"/>
                <w:szCs w:val="22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63D60" w14:textId="77777777" w:rsidR="00124838" w:rsidRPr="00665F92" w:rsidRDefault="00124838" w:rsidP="008D6B7F">
            <w:pPr>
              <w:jc w:val="center"/>
              <w:rPr>
                <w:rFonts w:ascii="Century Gothic" w:hAnsi="Century Gothic" w:cs="Calibri"/>
                <w:sz w:val="22"/>
                <w:szCs w:val="22"/>
                <w:lang w:eastAsia="pl-PL"/>
              </w:rPr>
            </w:pPr>
          </w:p>
        </w:tc>
      </w:tr>
      <w:tr w:rsidR="00124838" w:rsidRPr="00FF4BF5" w14:paraId="5529439E" w14:textId="77777777" w:rsidTr="008D6B7F">
        <w:trPr>
          <w:trHeight w:val="73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B17DA5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4D2E198D" w14:textId="77777777" w:rsidR="00124838" w:rsidRPr="00FF4BF5" w:rsidRDefault="00124838" w:rsidP="008D6B7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9724BD" w14:textId="77777777" w:rsidR="00124838" w:rsidRPr="00FF4BF5" w:rsidRDefault="00124838" w:rsidP="008D6B7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963CA" w14:textId="3504FAF8" w:rsidR="00124838" w:rsidRPr="00FF4BF5" w:rsidRDefault="00124838" w:rsidP="008D6B7F">
            <w:pP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3C130B">
              <w:rPr>
                <w:rFonts w:ascii="Century Gothic" w:hAnsi="Century Gothic" w:cs="Calibri"/>
                <w:b/>
                <w:bCs/>
                <w:sz w:val="20"/>
                <w:szCs w:val="20"/>
                <w:lang w:eastAsia="pl-PL"/>
              </w:rPr>
              <w:t>A:</w:t>
            </w:r>
            <w:r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  <w:t xml:space="preserve"> Łączna cena brutto sprzętu w zł (suma cen z poz. 1-5):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62368" w14:textId="77777777" w:rsidR="00124838" w:rsidRPr="00FF4BF5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124838" w:rsidRPr="00FF4BF5" w14:paraId="24FAA69F" w14:textId="77777777" w:rsidTr="008D6B7F">
        <w:trPr>
          <w:trHeight w:val="300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13E163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34BA5667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91732D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FC634F" w14:textId="77777777" w:rsidR="00124838" w:rsidRPr="00FF4BF5" w:rsidRDefault="00124838" w:rsidP="008D6B7F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A9F25" w14:textId="77777777" w:rsidR="00124838" w:rsidRPr="00FF4BF5" w:rsidRDefault="00124838" w:rsidP="008D6B7F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394A" w14:textId="77777777" w:rsidR="00124838" w:rsidRPr="00FF4BF5" w:rsidRDefault="00124838" w:rsidP="008D6B7F">
            <w:pPr>
              <w:jc w:val="center"/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</w:tr>
      <w:tr w:rsidR="00124838" w:rsidRPr="00FF4BF5" w14:paraId="3909892B" w14:textId="77777777" w:rsidTr="008D6B7F">
        <w:trPr>
          <w:trHeight w:val="667"/>
        </w:trPr>
        <w:tc>
          <w:tcPr>
            <w:tcW w:w="20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6FA54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</w:p>
        </w:tc>
        <w:tc>
          <w:tcPr>
            <w:tcW w:w="502" w:type="dxa"/>
            <w:tcBorders>
              <w:top w:val="nil"/>
              <w:left w:val="nil"/>
              <w:bottom w:val="nil"/>
              <w:right w:val="nil"/>
            </w:tcBorders>
          </w:tcPr>
          <w:p w14:paraId="584E36D1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9C2A5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CD2229" w14:textId="77777777" w:rsidR="00124838" w:rsidRPr="00FF4BF5" w:rsidRDefault="00124838" w:rsidP="008D6B7F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B: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dostawy sprzętu do nowej siedziby Szpitala 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A46027" w14:textId="77777777" w:rsidR="00124838" w:rsidRPr="00FF4BF5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124838" w:rsidRPr="00FF4BF5" w14:paraId="3BDD5837" w14:textId="77777777" w:rsidTr="008D6B7F">
        <w:trPr>
          <w:trHeight w:val="316"/>
        </w:trPr>
        <w:tc>
          <w:tcPr>
            <w:tcW w:w="207" w:type="dxa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DDFF7A9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top w:val="nil"/>
              <w:left w:val="nil"/>
              <w:right w:val="nil"/>
            </w:tcBorders>
          </w:tcPr>
          <w:p w14:paraId="542CDB58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14:paraId="57E7ADB6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E000AC9" w14:textId="77777777" w:rsidR="00124838" w:rsidRPr="00FF4BF5" w:rsidRDefault="00124838" w:rsidP="008D6B7F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</w:p>
        </w:tc>
        <w:tc>
          <w:tcPr>
            <w:tcW w:w="4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AC1E6" w14:textId="77777777" w:rsidR="00124838" w:rsidRPr="00FF4BF5" w:rsidRDefault="00124838" w:rsidP="008D6B7F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  <w:tr w:rsidR="00124838" w:rsidRPr="00FF4BF5" w14:paraId="749FB263" w14:textId="77777777" w:rsidTr="008D6B7F">
        <w:trPr>
          <w:trHeight w:val="937"/>
        </w:trPr>
        <w:tc>
          <w:tcPr>
            <w:tcW w:w="207" w:type="dxa"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58E10A5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02" w:type="dxa"/>
            <w:tcBorders>
              <w:left w:val="nil"/>
              <w:bottom w:val="single" w:sz="4" w:space="0" w:color="auto"/>
              <w:right w:val="nil"/>
            </w:tcBorders>
          </w:tcPr>
          <w:p w14:paraId="26215B8A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5528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18F8D" w14:textId="77777777" w:rsidR="00124838" w:rsidRPr="00FF4BF5" w:rsidRDefault="00124838" w:rsidP="008D6B7F">
            <w:pPr>
              <w:rPr>
                <w:rFonts w:ascii="Century Gothic" w:hAnsi="Century Gothic" w:cs="Calibri"/>
                <w:lang w:eastAsia="pl-PL"/>
              </w:rPr>
            </w:pP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D0CEE" w14:textId="77777777" w:rsidR="00124838" w:rsidRPr="00FF4BF5" w:rsidRDefault="00124838" w:rsidP="008D6B7F">
            <w:pPr>
              <w:rPr>
                <w:rFonts w:ascii="Century Gothic" w:hAnsi="Century Gothic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C:</w:t>
            </w:r>
            <w:r w:rsidRPr="00FF4BF5">
              <w:rPr>
                <w:rFonts w:ascii="Century Gothic" w:hAnsi="Century Gothic" w:cs="Calibri"/>
                <w:sz w:val="20"/>
                <w:szCs w:val="20"/>
                <w:lang w:eastAsia="pl-PL"/>
              </w:rPr>
              <w:t xml:space="preserve"> Cena brutto instalacji, szkolenia i uruchomienia sprzętu w nowej siedzibie Szpitala (w zł):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5F833" w14:textId="77777777" w:rsidR="00124838" w:rsidRPr="00FF4BF5" w:rsidRDefault="00124838" w:rsidP="008D6B7F">
            <w:pPr>
              <w:jc w:val="center"/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</w:p>
        </w:tc>
      </w:tr>
    </w:tbl>
    <w:p w14:paraId="2D8B7574" w14:textId="77777777" w:rsidR="00124838" w:rsidRDefault="00124838" w:rsidP="00124838">
      <w:pPr>
        <w:rPr>
          <w:rFonts w:ascii="Century Gothic" w:hAnsi="Century Gothic"/>
          <w:sz w:val="16"/>
          <w:szCs w:val="16"/>
        </w:rPr>
      </w:pPr>
    </w:p>
    <w:p w14:paraId="5A25B5C9" w14:textId="77777777" w:rsidR="00124838" w:rsidRPr="001D57E8" w:rsidRDefault="00124838" w:rsidP="00124838">
      <w:pPr>
        <w:rPr>
          <w:rFonts w:ascii="Century Gothic" w:hAnsi="Century Gothic"/>
          <w:sz w:val="16"/>
          <w:szCs w:val="16"/>
        </w:rPr>
      </w:pPr>
    </w:p>
    <w:tbl>
      <w:tblPr>
        <w:tblW w:w="14074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"/>
        <w:gridCol w:w="5245"/>
        <w:gridCol w:w="851"/>
        <w:gridCol w:w="1134"/>
        <w:gridCol w:w="2693"/>
        <w:gridCol w:w="3584"/>
      </w:tblGrid>
      <w:tr w:rsidR="00124838" w:rsidRPr="00FF4BF5" w14:paraId="5ED0F11C" w14:textId="77777777" w:rsidTr="008D6B7F">
        <w:trPr>
          <w:trHeight w:val="804"/>
        </w:trPr>
        <w:tc>
          <w:tcPr>
            <w:tcW w:w="1407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3BBC745" w14:textId="77777777" w:rsidR="00124838" w:rsidRPr="00FF4BF5" w:rsidRDefault="00124838" w:rsidP="008D6B7F">
            <w:pP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  <w:r w:rsidRPr="00FF4BF5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ZAMÓWIENIE OPCJONALNE:</w:t>
            </w:r>
          </w:p>
          <w:p w14:paraId="05D88773" w14:textId="77777777" w:rsidR="00124838" w:rsidRPr="00DB32A3" w:rsidRDefault="00124838" w:rsidP="008D6B7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FF4BF5">
              <w:rPr>
                <w:rFonts w:ascii="Century Gothic" w:hAnsi="Century Gothic" w:cs="Calibri"/>
                <w:lang w:eastAsia="pl-PL"/>
              </w:rPr>
              <w:t> </w:t>
            </w:r>
            <w:r w:rsidRPr="00DB32A3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 xml:space="preserve">dostawa sprzętu do magazynu Wykonawcy oraz </w:t>
            </w:r>
            <w:r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>przechowywanie</w:t>
            </w:r>
            <w:r w:rsidRPr="00DB32A3">
              <w:rPr>
                <w:rFonts w:ascii="Century Gothic" w:hAnsi="Century Gothic" w:cs="Calibri"/>
                <w:b/>
                <w:sz w:val="20"/>
                <w:szCs w:val="20"/>
                <w:lang w:eastAsia="pl-PL"/>
              </w:rPr>
              <w:t xml:space="preserve"> sprzętu w magazynie Wykonawcy nie dłużej niż do 30.11.2019 r.</w:t>
            </w:r>
          </w:p>
        </w:tc>
      </w:tr>
      <w:tr w:rsidR="00124838" w:rsidRPr="00FF4BF5" w14:paraId="68F4BB44" w14:textId="77777777" w:rsidTr="008D6B7F">
        <w:trPr>
          <w:trHeight w:val="9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0BEB111" w14:textId="77777777" w:rsidR="00124838" w:rsidRPr="001D57E8" w:rsidRDefault="00124838" w:rsidP="008D6B7F">
            <w:pPr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9B903F" w14:textId="77777777" w:rsidR="00124838" w:rsidRPr="001D57E8" w:rsidRDefault="00124838" w:rsidP="008D6B7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Przedmiot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9AE22" w14:textId="77777777" w:rsidR="00124838" w:rsidRPr="001D57E8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Liczba sztuk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9A21E5" w14:textId="77777777" w:rsidR="00124838" w:rsidRPr="001D57E8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>Liczba miesięcy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33C56" w14:textId="77777777" w:rsidR="00124838" w:rsidRPr="001D57E8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sz w:val="20"/>
                <w:szCs w:val="20"/>
              </w:rPr>
              <w:t xml:space="preserve">Cena brutto miesięcznego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1 sztuki sprzętu (w zł)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E89AE" w14:textId="77777777" w:rsidR="00124838" w:rsidRPr="001D57E8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ena brutto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łącznej liczby sztuk sprzętu przez zakładaną łączną liczbę miesięcy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pozycjach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(w zł):</w:t>
            </w:r>
          </w:p>
        </w:tc>
      </w:tr>
      <w:tr w:rsidR="00124838" w:rsidRPr="00FF4BF5" w14:paraId="79EFD2A1" w14:textId="77777777" w:rsidTr="008D6B7F">
        <w:trPr>
          <w:trHeight w:val="624"/>
        </w:trPr>
        <w:tc>
          <w:tcPr>
            <w:tcW w:w="1407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0FE7E" w14:textId="46CE89EA" w:rsidR="00124838" w:rsidRPr="00FF4BF5" w:rsidRDefault="00124838" w:rsidP="008D6B7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24838">
              <w:rPr>
                <w:rFonts w:ascii="Century Gothic" w:hAnsi="Century Gothic"/>
                <w:sz w:val="20"/>
              </w:rPr>
              <w:t>Infuzja SOR</w:t>
            </w:r>
            <w:r>
              <w:rPr>
                <w:rFonts w:ascii="Century Gothic" w:hAnsi="Century Gothic"/>
                <w:sz w:val="20"/>
              </w:rPr>
              <w:t>:</w:t>
            </w:r>
          </w:p>
        </w:tc>
      </w:tr>
      <w:tr w:rsidR="00124838" w:rsidRPr="00FF4BF5" w14:paraId="4B89BDA2" w14:textId="77777777" w:rsidTr="0012483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7066CC" w14:textId="77777777" w:rsidR="00124838" w:rsidRPr="001D57E8" w:rsidRDefault="00124838" w:rsidP="008D6B7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2460C5" w14:textId="07635E6B" w:rsidR="00124838" w:rsidRPr="00FF4BF5" w:rsidRDefault="00124838" w:rsidP="00124838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4439EF">
              <w:rPr>
                <w:rFonts w:ascii="Century Gothic" w:hAnsi="Century Gothic"/>
                <w:sz w:val="20"/>
              </w:rPr>
              <w:t>Pompy strzykawkowe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15C67" w14:textId="03A98456" w:rsidR="00124838" w:rsidRPr="00FF4BF5" w:rsidRDefault="00124838" w:rsidP="00124838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4439EF">
              <w:rPr>
                <w:rFonts w:ascii="Century Gothic" w:hAnsi="Century Gothic"/>
                <w:sz w:val="20"/>
              </w:rPr>
              <w:t>105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2C3F2" w14:textId="77777777" w:rsidR="00124838" w:rsidRPr="00FF4BF5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03DD4D" w14:textId="77777777" w:rsidR="00124838" w:rsidRPr="00FF4BF5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4DAA43" w14:textId="77777777" w:rsidR="00124838" w:rsidRPr="00FF4BF5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124838" w:rsidRPr="00FF4BF5" w14:paraId="55B0C538" w14:textId="77777777" w:rsidTr="0012483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E3CBBE6" w14:textId="77777777" w:rsidR="00124838" w:rsidRDefault="00124838" w:rsidP="008D6B7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B0174C4" w14:textId="523069B4" w:rsidR="00124838" w:rsidRPr="00FF4BF5" w:rsidRDefault="00124838" w:rsidP="0012483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P</w:t>
            </w:r>
            <w:r w:rsidRPr="004439EF">
              <w:rPr>
                <w:rFonts w:ascii="Century Gothic" w:hAnsi="Century Gothic"/>
                <w:sz w:val="20"/>
              </w:rPr>
              <w:t>ompy objętościowe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E97A1E" w14:textId="62A92915" w:rsidR="00124838" w:rsidRDefault="00124838" w:rsidP="00124838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4439EF">
              <w:rPr>
                <w:rFonts w:ascii="Century Gothic" w:hAnsi="Century Gothic"/>
                <w:sz w:val="20"/>
              </w:rPr>
              <w:t>35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FE8E90" w14:textId="77777777" w:rsidR="00124838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EF07CF"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016F5" w14:textId="77777777" w:rsidR="00124838" w:rsidRPr="00FF4BF5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DB475" w14:textId="77777777" w:rsidR="00124838" w:rsidRPr="00FF4BF5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124838" w:rsidRPr="00FF4BF5" w14:paraId="59FC2784" w14:textId="77777777" w:rsidTr="0012483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98AD194" w14:textId="77777777" w:rsidR="00124838" w:rsidRDefault="00124838" w:rsidP="008D6B7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5D970B9B" w14:textId="7F52767F" w:rsidR="00124838" w:rsidRPr="00FF4BF5" w:rsidRDefault="00124838" w:rsidP="0012483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</w:t>
            </w:r>
            <w:r w:rsidRPr="004439EF">
              <w:rPr>
                <w:rFonts w:ascii="Century Gothic" w:hAnsi="Century Gothic"/>
                <w:sz w:val="20"/>
              </w:rPr>
              <w:t>tacja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5286E" w14:textId="4B155193" w:rsidR="00124838" w:rsidRDefault="00124838" w:rsidP="00124838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4439EF">
              <w:rPr>
                <w:rFonts w:ascii="Century Gothic" w:hAnsi="Century Gothic"/>
                <w:sz w:val="20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CC5C0" w14:textId="77777777" w:rsidR="00124838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EF07CF"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B1CA8" w14:textId="77777777" w:rsidR="00124838" w:rsidRPr="00FF4BF5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744EE" w14:textId="77777777" w:rsidR="00124838" w:rsidRPr="00FF4BF5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124838" w:rsidRPr="00FF4BF5" w14:paraId="5EC93FF2" w14:textId="77777777" w:rsidTr="0012483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984D09D" w14:textId="77777777" w:rsidR="00124838" w:rsidRDefault="00124838" w:rsidP="008D6B7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743F2D3" w14:textId="1AD1DD75" w:rsidR="00124838" w:rsidRPr="00FF4BF5" w:rsidRDefault="00124838" w:rsidP="00124838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S</w:t>
            </w:r>
            <w:r w:rsidRPr="004439EF">
              <w:rPr>
                <w:rFonts w:ascii="Century Gothic" w:hAnsi="Century Gothic"/>
                <w:sz w:val="20"/>
              </w:rPr>
              <w:t>tojak na stację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74FAF" w14:textId="3B9E5341" w:rsidR="00124838" w:rsidRDefault="00124838" w:rsidP="00124838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4439EF">
              <w:rPr>
                <w:rFonts w:ascii="Century Gothic" w:hAnsi="Century Gothic"/>
                <w:sz w:val="20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8CDE8" w14:textId="77777777" w:rsidR="00124838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EF07CF"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0153F" w14:textId="77777777" w:rsidR="00124838" w:rsidRPr="00FF4BF5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BF52B" w14:textId="77777777" w:rsidR="00124838" w:rsidRPr="00FF4BF5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124838" w:rsidRPr="00FF4BF5" w14:paraId="68D20EED" w14:textId="77777777" w:rsidTr="00124838">
        <w:trPr>
          <w:trHeight w:val="56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9A71222" w14:textId="77777777" w:rsidR="00124838" w:rsidRDefault="00124838" w:rsidP="008D6B7F">
            <w:pPr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96F9FC8" w14:textId="6C02BD6E" w:rsidR="00124838" w:rsidRPr="00FF4BF5" w:rsidRDefault="00124838" w:rsidP="00124838">
            <w:pPr>
              <w:rPr>
                <w:rFonts w:ascii="Century Gothic" w:hAnsi="Century Gothic"/>
                <w:sz w:val="20"/>
              </w:rPr>
            </w:pPr>
            <w:r w:rsidRPr="004439EF">
              <w:rPr>
                <w:rFonts w:ascii="Century Gothic" w:hAnsi="Century Gothic"/>
                <w:sz w:val="20"/>
              </w:rPr>
              <w:t>Stojak na pompy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1980B" w14:textId="2BDACE44" w:rsidR="00124838" w:rsidRDefault="00124838" w:rsidP="00124838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  <w:r w:rsidRPr="004439EF">
              <w:rPr>
                <w:rFonts w:ascii="Century Gothic" w:hAnsi="Century Gothic"/>
                <w:sz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2B66A" w14:textId="77777777" w:rsidR="00124838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EF07CF">
              <w:rPr>
                <w:rFonts w:ascii="Century Gothic" w:hAnsi="Century Gothic" w:cs="Calibri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CC0E0" w14:textId="77777777" w:rsidR="00124838" w:rsidRPr="00FF4BF5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005F9" w14:textId="77777777" w:rsidR="00124838" w:rsidRPr="00FF4BF5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  <w:tr w:rsidR="00124838" w:rsidRPr="00FF4BF5" w14:paraId="5100C882" w14:textId="77777777" w:rsidTr="008D6B7F">
        <w:trPr>
          <w:trHeight w:val="1141"/>
        </w:trPr>
        <w:tc>
          <w:tcPr>
            <w:tcW w:w="567" w:type="dxa"/>
            <w:tcBorders>
              <w:top w:val="single" w:sz="4" w:space="0" w:color="auto"/>
            </w:tcBorders>
          </w:tcPr>
          <w:p w14:paraId="0AA53051" w14:textId="77777777" w:rsidR="00124838" w:rsidRPr="00FF4BF5" w:rsidRDefault="00124838" w:rsidP="008D6B7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5245" w:type="dxa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14:paraId="7E3B3AFC" w14:textId="77777777" w:rsidR="00124838" w:rsidRPr="00FF4BF5" w:rsidRDefault="00124838" w:rsidP="008D6B7F">
            <w:pPr>
              <w:rPr>
                <w:rFonts w:ascii="Century Gothic" w:hAnsi="Century Gothic"/>
                <w:sz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152D227" w14:textId="77777777" w:rsidR="00124838" w:rsidRDefault="00124838" w:rsidP="008D6B7F">
            <w:pPr>
              <w:jc w:val="center"/>
              <w:rPr>
                <w:rFonts w:ascii="Century Gothic" w:hAnsi="Century Gothic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4FEB5" w14:textId="13F3E67F" w:rsidR="00124838" w:rsidRPr="00FF4BF5" w:rsidRDefault="00124838" w:rsidP="008D6B7F">
            <w:pPr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  <w:r w:rsidRPr="001D57E8">
              <w:rPr>
                <w:rFonts w:ascii="Century Gothic" w:hAnsi="Century Gothic"/>
                <w:b/>
                <w:sz w:val="20"/>
                <w:szCs w:val="20"/>
              </w:rPr>
              <w:t>D: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Łączna c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ena brutto </w:t>
            </w:r>
            <w:r>
              <w:rPr>
                <w:rFonts w:ascii="Century Gothic" w:hAnsi="Century Gothic"/>
                <w:sz w:val="20"/>
                <w:szCs w:val="20"/>
              </w:rPr>
              <w:t>przechowywania</w:t>
            </w:r>
            <w:r w:rsidRPr="001D57E8">
              <w:rPr>
                <w:rFonts w:ascii="Century Gothic" w:hAnsi="Century Gothic"/>
                <w:sz w:val="20"/>
                <w:szCs w:val="20"/>
              </w:rPr>
              <w:t xml:space="preserve"> łącznej liczby sztuk sprzętu przez zakładaną łączną liczbę miesięcy</w:t>
            </w:r>
            <w:r>
              <w:rPr>
                <w:rFonts w:ascii="Century Gothic" w:hAnsi="Century Gothic"/>
                <w:sz w:val="20"/>
                <w:szCs w:val="20"/>
              </w:rPr>
              <w:t xml:space="preserve"> w zł (suma cen z poz. 1-5)</w:t>
            </w:r>
            <w:r w:rsidRPr="001D57E8">
              <w:rPr>
                <w:rFonts w:ascii="Century Gothic" w:hAnsi="Century Gothic"/>
                <w:sz w:val="20"/>
                <w:szCs w:val="20"/>
              </w:rPr>
              <w:t>:</w:t>
            </w:r>
          </w:p>
        </w:tc>
        <w:tc>
          <w:tcPr>
            <w:tcW w:w="35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C25BE" w14:textId="77777777" w:rsidR="00124838" w:rsidRPr="00FF4BF5" w:rsidRDefault="00124838" w:rsidP="008D6B7F">
            <w:pPr>
              <w:jc w:val="center"/>
              <w:rPr>
                <w:rFonts w:ascii="Century Gothic" w:hAnsi="Century Gothic" w:cs="Calibri"/>
                <w:sz w:val="20"/>
                <w:szCs w:val="20"/>
                <w:lang w:eastAsia="pl-PL"/>
              </w:rPr>
            </w:pPr>
          </w:p>
        </w:tc>
      </w:tr>
    </w:tbl>
    <w:p w14:paraId="2618FEF1" w14:textId="77777777" w:rsidR="00124838" w:rsidRDefault="00124838" w:rsidP="00124838">
      <w:pPr>
        <w:rPr>
          <w:rFonts w:ascii="Century Gothic" w:hAnsi="Century Gothic"/>
          <w:sz w:val="10"/>
          <w:szCs w:val="10"/>
        </w:rPr>
      </w:pPr>
    </w:p>
    <w:p w14:paraId="27F9239E" w14:textId="77777777" w:rsidR="00124838" w:rsidRDefault="00124838" w:rsidP="00124838">
      <w:pPr>
        <w:rPr>
          <w:rFonts w:ascii="Century Gothic" w:hAnsi="Century Gothic"/>
          <w:sz w:val="10"/>
          <w:szCs w:val="10"/>
        </w:rPr>
      </w:pPr>
    </w:p>
    <w:p w14:paraId="1BD8237E" w14:textId="77777777" w:rsidR="00124838" w:rsidRPr="00FF4BF5" w:rsidRDefault="00124838" w:rsidP="00124838">
      <w:pPr>
        <w:rPr>
          <w:rFonts w:ascii="Century Gothic" w:hAnsi="Century Gothic"/>
          <w:sz w:val="10"/>
          <w:szCs w:val="10"/>
        </w:rPr>
      </w:pPr>
    </w:p>
    <w:tbl>
      <w:tblPr>
        <w:tblW w:w="3724" w:type="pct"/>
        <w:tblInd w:w="3412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67"/>
        <w:gridCol w:w="6223"/>
      </w:tblGrid>
      <w:tr w:rsidR="00124838" w:rsidRPr="00FF4BF5" w14:paraId="60E14267" w14:textId="77777777" w:rsidTr="008D6B7F">
        <w:trPr>
          <w:trHeight w:val="527"/>
        </w:trPr>
        <w:tc>
          <w:tcPr>
            <w:tcW w:w="20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64A00" w14:textId="77777777" w:rsidR="00124838" w:rsidRPr="00FF4BF5" w:rsidRDefault="00124838" w:rsidP="008D6B7F">
            <w:pPr>
              <w:pStyle w:val="Skrconyadreszwrotny"/>
              <w:snapToGrid w:val="0"/>
              <w:rPr>
                <w:rFonts w:ascii="Century Gothic" w:hAnsi="Century Gothic"/>
                <w:bCs/>
                <w:sz w:val="20"/>
              </w:rPr>
            </w:pPr>
            <w:r w:rsidRPr="00FF4BF5">
              <w:rPr>
                <w:rFonts w:ascii="Century Gothic" w:hAnsi="Century Gothic"/>
                <w:bCs/>
                <w:sz w:val="20"/>
              </w:rPr>
              <w:t xml:space="preserve">A+ B + C + D: </w:t>
            </w:r>
            <w:r w:rsidRPr="00FF4BF5">
              <w:rPr>
                <w:rFonts w:ascii="Century Gothic" w:hAnsi="Century Gothic"/>
                <w:b/>
                <w:bCs/>
                <w:sz w:val="20"/>
              </w:rPr>
              <w:t xml:space="preserve">Cena brutto oferty </w:t>
            </w:r>
            <w:r w:rsidRPr="00FF4BF5">
              <w:rPr>
                <w:rFonts w:ascii="Century Gothic" w:hAnsi="Century Gothic" w:cs="Calibri"/>
                <w:sz w:val="20"/>
              </w:rPr>
              <w:t>(w zł)</w:t>
            </w:r>
          </w:p>
        </w:tc>
        <w:tc>
          <w:tcPr>
            <w:tcW w:w="2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0E1C8CE" w14:textId="77777777" w:rsidR="00124838" w:rsidRPr="00FF4BF5" w:rsidRDefault="00124838" w:rsidP="008D6B7F">
            <w:pPr>
              <w:pStyle w:val="Skrconyadreszwrotny"/>
              <w:snapToGrid w:val="0"/>
              <w:jc w:val="center"/>
              <w:rPr>
                <w:rFonts w:ascii="Century Gothic" w:hAnsi="Century Gothic"/>
                <w:bCs/>
                <w:sz w:val="20"/>
              </w:rPr>
            </w:pPr>
          </w:p>
        </w:tc>
      </w:tr>
    </w:tbl>
    <w:p w14:paraId="186AB423" w14:textId="6E4E9273" w:rsidR="005979A3" w:rsidRPr="00124838" w:rsidRDefault="005979A3">
      <w:pPr>
        <w:suppressAutoHyphens w:val="0"/>
        <w:spacing w:after="200" w:line="276" w:lineRule="auto"/>
        <w:rPr>
          <w:rFonts w:ascii="Century Gothic" w:hAnsi="Century Gothic"/>
          <w:sz w:val="20"/>
        </w:rPr>
      </w:pPr>
      <w:r>
        <w:rPr>
          <w:rFonts w:ascii="Century Gothic" w:hAnsi="Century Gothic"/>
          <w:sz w:val="20"/>
        </w:rPr>
        <w:br w:type="page"/>
      </w:r>
    </w:p>
    <w:p w14:paraId="41A93A5E" w14:textId="77777777" w:rsidR="0097030B" w:rsidRPr="00FF4BF5" w:rsidRDefault="0097030B" w:rsidP="0097030B">
      <w:pPr>
        <w:spacing w:before="100" w:beforeAutospacing="1" w:after="100" w:afterAutospacing="1" w:line="288" w:lineRule="auto"/>
        <w:rPr>
          <w:rFonts w:ascii="Century Gothic" w:hAnsi="Century Gothic"/>
          <w:b/>
          <w:sz w:val="22"/>
          <w:szCs w:val="22"/>
        </w:rPr>
      </w:pPr>
      <w:r w:rsidRPr="00FF4BF5">
        <w:rPr>
          <w:rFonts w:ascii="Century Gothic" w:hAnsi="Century Gothic"/>
          <w:b/>
          <w:sz w:val="22"/>
          <w:szCs w:val="22"/>
        </w:rPr>
        <w:lastRenderedPageBreak/>
        <w:t xml:space="preserve">PARAMETRY TECHNICZNE I EKSPLOATACYJNE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2"/>
        <w:gridCol w:w="1561"/>
        <w:gridCol w:w="4354"/>
        <w:gridCol w:w="2528"/>
      </w:tblGrid>
      <w:tr w:rsidR="008457DA" w:rsidRPr="008D6B7F" w14:paraId="2FEEF54F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310463" w14:textId="77777777" w:rsidR="008457DA" w:rsidRPr="008D6B7F" w:rsidRDefault="008457DA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8D6B7F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1472" w14:textId="77777777" w:rsidR="008457DA" w:rsidRPr="008D6B7F" w:rsidRDefault="008457DA" w:rsidP="00D2374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D6B7F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72206" w14:textId="77777777" w:rsidR="008457DA" w:rsidRPr="008D6B7F" w:rsidRDefault="008457DA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8D6B7F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0F407" w14:textId="77777777" w:rsidR="008457DA" w:rsidRPr="008D6B7F" w:rsidRDefault="008457DA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8D6B7F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A50F" w14:textId="77777777" w:rsidR="008457DA" w:rsidRPr="008D6B7F" w:rsidRDefault="008457DA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8D6B7F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22268C" w:rsidRPr="008D6B7F" w14:paraId="2AD6269C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DEBBD" w14:textId="6DF4152C" w:rsidR="0022268C" w:rsidRPr="008D6B7F" w:rsidRDefault="0022268C" w:rsidP="0022268C">
            <w:pPr>
              <w:pStyle w:val="Akapitzlist"/>
              <w:widowControl w:val="0"/>
              <w:numPr>
                <w:ilvl w:val="0"/>
                <w:numId w:val="12"/>
              </w:numPr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bCs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96DAE" w14:textId="1939A816" w:rsidR="0022268C" w:rsidRPr="008D6B7F" w:rsidRDefault="0022268C" w:rsidP="00D2374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b w:val="0"/>
                <w:sz w:val="20"/>
                <w:szCs w:val="20"/>
                <w:lang w:eastAsia="en-US"/>
              </w:rPr>
            </w:pPr>
            <w:r w:rsidRPr="008D6B7F">
              <w:rPr>
                <w:rFonts w:ascii="Century Gothic" w:hAnsi="Century Gothic"/>
                <w:b w:val="0"/>
                <w:sz w:val="20"/>
                <w:szCs w:val="20"/>
              </w:rPr>
              <w:t>Ujednolicony panel sterowania w pompach strzykawkowych i objętościowych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172A5" w14:textId="18B7F166" w:rsidR="0022268C" w:rsidRPr="008D6B7F" w:rsidRDefault="0022268C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7FF5A" w14:textId="77777777" w:rsidR="0022268C" w:rsidRPr="008D6B7F" w:rsidRDefault="0022268C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3DCFB" w14:textId="77777777" w:rsidR="0022268C" w:rsidRPr="008D6B7F" w:rsidRDefault="0022268C" w:rsidP="008D6B7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1 pkt- TAK</w:t>
            </w:r>
          </w:p>
          <w:p w14:paraId="55BC109C" w14:textId="3CF14906" w:rsidR="0022268C" w:rsidRPr="008D6B7F" w:rsidRDefault="0022268C" w:rsidP="008D6B7F">
            <w:pPr>
              <w:widowControl w:val="0"/>
              <w:snapToGrid w:val="0"/>
              <w:jc w:val="center"/>
              <w:rPr>
                <w:rFonts w:ascii="Century Gothic" w:hAnsi="Century Gothic"/>
                <w:b/>
                <w:bCs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0 pkt - NIE</w:t>
            </w:r>
          </w:p>
        </w:tc>
      </w:tr>
      <w:tr w:rsidR="0022268C" w:rsidRPr="008D6B7F" w14:paraId="35D9B852" w14:textId="77777777" w:rsidTr="008D6B7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F2EF78" w14:textId="22840052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Pompy strzykawkowe – 105 szt.</w:t>
            </w:r>
          </w:p>
        </w:tc>
      </w:tr>
      <w:tr w:rsidR="0022268C" w:rsidRPr="008D6B7F" w14:paraId="1B5B85ED" w14:textId="0689DD24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0E093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46FD8" w14:textId="1A3C7B8C" w:rsidR="0022268C" w:rsidRPr="008D6B7F" w:rsidRDefault="0022268C" w:rsidP="00FA4D2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Oferowane urządzenia muszą spełniać normę                  EN 60601-1 Klasa II, typ CF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3A8D5" w14:textId="1D5C61AF" w:rsidR="0022268C" w:rsidRPr="008D6B7F" w:rsidRDefault="0022268C" w:rsidP="00E1660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0B47E" w14:textId="77777777" w:rsidR="0022268C" w:rsidRPr="008D6B7F" w:rsidRDefault="0022268C" w:rsidP="00E1660F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919B2" w14:textId="35F39A9E" w:rsidR="0022268C" w:rsidRPr="008D6B7F" w:rsidRDefault="0022268C" w:rsidP="00E1660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268C" w:rsidRPr="008D6B7F" w14:paraId="64CDBB3A" w14:textId="68D1451B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D9AC8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7C1A5" w14:textId="7C1C3669" w:rsidR="0022268C" w:rsidRPr="008D6B7F" w:rsidRDefault="0022268C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Zabezpieczenie pompy przed przypadkowym zalaniem układów mechaniki i elektroniki, podać stopień ochrony IP – wymagany nie mniej niż IP 22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ECD2B8" w14:textId="11ACFC6C" w:rsidR="0022268C" w:rsidRPr="008D6B7F" w:rsidRDefault="008D6B7F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CDFBF" w14:textId="47126A1D" w:rsidR="0022268C" w:rsidRPr="008D6B7F" w:rsidRDefault="0022268C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273" w14:textId="287DC72F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1 pkt. Za najwyższy stopień IP, pozostałe 0 pkt.</w:t>
            </w:r>
          </w:p>
        </w:tc>
      </w:tr>
      <w:tr w:rsidR="0022268C" w:rsidRPr="008D6B7F" w14:paraId="2450FFBD" w14:textId="557431EA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49E2D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4F2B9" w14:textId="7C4F1815" w:rsidR="0022268C" w:rsidRPr="008D6B7F" w:rsidRDefault="0022268C" w:rsidP="0087306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Zasilanie 220-240 V AC, 50 Hz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07CE6" w14:textId="015BDECF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4474A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B030E" w14:textId="47F91339" w:rsidR="0022268C" w:rsidRPr="008D6B7F" w:rsidRDefault="0022268C" w:rsidP="00E1660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268C" w:rsidRPr="008D6B7F" w14:paraId="30E87B63" w14:textId="30D3AD63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FAC5B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40FD4" w14:textId="3C7F645F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Bateria o krótkim czasie ładowania (podać dokładny czas ładowania od trybu pełnego rozładowania, aż do trybu pełnego naładowania nowego egzemplarza podany przez producenta)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FF9A7" w14:textId="5D547D98" w:rsidR="0022268C" w:rsidRPr="008D6B7F" w:rsidRDefault="0022268C" w:rsidP="008D6B7F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  <w:r w:rsidR="008D6B7F">
              <w:rPr>
                <w:rFonts w:ascii="Century Gothic" w:hAnsi="Century Gothic"/>
                <w:sz w:val="20"/>
                <w:szCs w:val="20"/>
              </w:rPr>
              <w:t>,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295A01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EA623" w14:textId="1FB616DD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1 pkt za najkrótszy czas ładowania baterii, pozostałe 0 pkt.</w:t>
            </w:r>
          </w:p>
        </w:tc>
      </w:tr>
      <w:tr w:rsidR="0022268C" w:rsidRPr="008D6B7F" w14:paraId="268D59F6" w14:textId="13AA7DB1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4361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C5D7" w14:textId="2797D89B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wymiany akumulatora przez użytkownika bez użycia specjalnych narzędzi i wykonywania przeglądu technicznego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5AEA3" w14:textId="075D6E41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5B6A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4ADD3" w14:textId="67281E95" w:rsidR="0022268C" w:rsidRPr="008D6B7F" w:rsidRDefault="0022268C" w:rsidP="001B356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– 0,5 pkt, Nie – 0 pkt</w:t>
            </w:r>
          </w:p>
        </w:tc>
      </w:tr>
      <w:tr w:rsidR="0022268C" w:rsidRPr="008D6B7F" w14:paraId="2E99130E" w14:textId="72B3A1E2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1D6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4C72" w14:textId="1D5A9A56" w:rsidR="0022268C" w:rsidRPr="008D6B7F" w:rsidRDefault="0022268C" w:rsidP="00491ED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Czas pracy pompy przy zasilaniu akumulatorowym, dla szybkości dozowania 5 ml/godz. nie mniej niż 5 godzin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3A9FA" w14:textId="37DFA770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C9944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52F01" w14:textId="1A27577F" w:rsidR="0022268C" w:rsidRPr="008D6B7F" w:rsidRDefault="0022268C" w:rsidP="0046482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1 pkt za najdłuższy czas, pozostałe 0 pkt.</w:t>
            </w:r>
          </w:p>
        </w:tc>
      </w:tr>
      <w:tr w:rsidR="0022268C" w:rsidRPr="008D6B7F" w14:paraId="0C3AA805" w14:textId="0BB579CC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CC3D2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5483" w14:textId="77777777" w:rsidR="0022268C" w:rsidRPr="008D6B7F" w:rsidRDefault="0022268C" w:rsidP="00696B0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Niezależny wskaźnik stanu naładowania akumulatora pompy wyświetlający poziom naładowania/rozładowania akumulatora. Wskaźnik przedstawiać ma użytkownikowi orientacyjny poziom naładowania/rozładowania akumulatora w danej chwili, dlatego </w:t>
            </w:r>
            <w:r w:rsidRPr="008D6B7F">
              <w:rPr>
                <w:rFonts w:ascii="Century Gothic" w:hAnsi="Century Gothic"/>
                <w:sz w:val="20"/>
                <w:szCs w:val="20"/>
              </w:rPr>
              <w:lastRenderedPageBreak/>
              <w:t>Zamawiający  dopuszcza prezentację tego parametru w stanie włączenia jak i wyłączenia pompy. Zamawiający nie dopuszcza prezentacji stanu naładowania /rozładowania akumulatora w trybie serwisowym</w:t>
            </w:r>
          </w:p>
          <w:p w14:paraId="283B1A54" w14:textId="77777777" w:rsidR="0022268C" w:rsidRPr="008D6B7F" w:rsidRDefault="0022268C" w:rsidP="00696B0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6A7130EB" w14:textId="7E6DE234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Wskaźnik stanu naładowania akumulatora na obudowie pompy widoczny przy włączonej i wyłączonej pompie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E9B37" w14:textId="588BCEFD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lastRenderedPageBreak/>
              <w:t>TAK – Podać opis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5396A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86656" w14:textId="0690A18C" w:rsidR="0022268C" w:rsidRPr="008D6B7F" w:rsidRDefault="0022268C" w:rsidP="00CB4793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5E8BA502" w14:textId="6EC7838D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C72D3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DEC89" w14:textId="53061F8B" w:rsidR="0022268C" w:rsidRPr="008D6B7F" w:rsidRDefault="0022268C" w:rsidP="003F0F4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Wbudowany w pompie, system mocowania na szynie medycznej oraz na masztach infuzyjnych bez dodatkowo montowanych uchwytów lub z dodatkowo montowanymi uchwytami.(dla 100% pomp)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7FC1D" w14:textId="72403C2C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FD528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1133B" w14:textId="7F5ED182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60CA1A13" w14:textId="768D5464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311E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71B3F" w14:textId="6C51F393" w:rsidR="0022268C" w:rsidRPr="008D6B7F" w:rsidRDefault="0022268C" w:rsidP="003F0F4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Wbudowany, nie demontowany uchwyt ułatwiający przenoszenie pompy lub uchwyt montowany dodatkowo (w przypadku demotowalnego dla 100% pomp)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D2770" w14:textId="3A74FAD8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ECE94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36156" w14:textId="34C804C4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784A7B80" w14:textId="58CC4134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323B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7C7CF" w14:textId="54EE033E" w:rsidR="0022268C" w:rsidRPr="008D6B7F" w:rsidRDefault="0022268C" w:rsidP="003F0F4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Dla pomp posiadających zasilacz zewnętrzny, zasilacze dla 100% pomp.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92E3B" w14:textId="52175BFE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F8C10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5974F" w14:textId="6530F836" w:rsidR="0022268C" w:rsidRPr="008D6B7F" w:rsidRDefault="0022268C" w:rsidP="00666C1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5FA10854" w14:textId="7FABF40E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0DA7B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A799F" w14:textId="22AF20C3" w:rsidR="0022268C" w:rsidRPr="008D6B7F" w:rsidRDefault="0022268C" w:rsidP="00CB4793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Zatrzaskowy sposób mocowania pompy w stacji dokującej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8B9E8" w14:textId="338896F5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0B78B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0FB99" w14:textId="1A13FEBC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5A0AC385" w14:textId="6D808CEB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96026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A5F48" w14:textId="0C2041F3" w:rsidR="0022268C" w:rsidRPr="008D6B7F" w:rsidRDefault="0022268C" w:rsidP="00CB4793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Manualne mocowanie w pompie lub mechaniczne mocowanie strzykawki w pompie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61FF5" w14:textId="1E48B06C" w:rsidR="0022268C" w:rsidRPr="008D6B7F" w:rsidRDefault="008D6B7F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22268C"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4A277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798C5E" w14:textId="31EA7920" w:rsidR="0022268C" w:rsidRPr="008D6B7F" w:rsidRDefault="0022268C" w:rsidP="001B356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0 pkt za manualne mocowanie w pompie; 1 pkt za mechaniczne mocowanie strzykawki w pompie</w:t>
            </w:r>
          </w:p>
        </w:tc>
      </w:tr>
      <w:tr w:rsidR="0022268C" w:rsidRPr="008D6B7F" w14:paraId="6D2D1C63" w14:textId="14725945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BA932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6C1DF" w14:textId="729874B4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Montaż strzykawki od czoła pompy infuzyjnej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78A2" w14:textId="5DC22216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92A1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DF1AC" w14:textId="7BA29A34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036FFC8B" w14:textId="0E40C1E8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6F80C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6EEC0" w14:textId="2802B288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Ustawianie parametrów infuzji za pomocą klawiatury strzałkowej lub symbolicznej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22879" w14:textId="0A87C5A1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77303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417C1" w14:textId="15B56A23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2955E2B3" w14:textId="37DD0541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8012A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1A095" w14:textId="6BB5807A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Wbudowany interfejs do dwustronnej komunikacji z systemem zarządzającym infuzją oraz innym pompami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A5A41" w14:textId="2D0EB844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F55F8F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FB2AA" w14:textId="28BFCA6B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25A8A4BD" w14:textId="57950D7A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6B6AE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B2041" w14:textId="60C529CF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Ciężar urządzenia w [kg] nie więcej niż 2,4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13ECB" w14:textId="06E1DA39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–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2E224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A443C" w14:textId="217D5F07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1 pkt – za najniższy ciężar , pozostałe 0 pkt</w:t>
            </w:r>
          </w:p>
        </w:tc>
      </w:tr>
      <w:tr w:rsidR="0022268C" w:rsidRPr="008D6B7F" w14:paraId="4E7E7480" w14:textId="07E36561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4B2B6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2157E" w14:textId="61B34A5C" w:rsidR="0022268C" w:rsidRPr="008D6B7F" w:rsidRDefault="0022268C" w:rsidP="00A325F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Duży, czytelny wyświetlacz wbudowany w pompie, z szerokim kątem widzenia z każdej strony, o największej powierzchni (w cm</w:t>
            </w:r>
            <w:r w:rsidRPr="008D6B7F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  <w:r w:rsidRPr="008D6B7F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F58CA" w14:textId="36389BD1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Podać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E424F" w14:textId="77777777" w:rsidR="0022268C" w:rsidRPr="008D6B7F" w:rsidRDefault="0022268C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28D2A" w14:textId="34BE6616" w:rsidR="0022268C" w:rsidRPr="008D6B7F" w:rsidRDefault="0022268C" w:rsidP="00A325F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1 pkt za ekran wbudowany w pompę o największej powierzchni wyświetlacza, pozostałe 0 pkt. </w:t>
            </w:r>
          </w:p>
        </w:tc>
      </w:tr>
      <w:tr w:rsidR="0022268C" w:rsidRPr="008D6B7F" w14:paraId="12D7F6F3" w14:textId="6636F221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83015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6990D0" w14:textId="075F2693" w:rsidR="0022268C" w:rsidRPr="008D6B7F" w:rsidRDefault="0022268C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Historia zdarzeń, przechowywana w pamięci pompy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46B8" w14:textId="584E6620" w:rsidR="0022268C" w:rsidRPr="008D6B7F" w:rsidRDefault="008D6B7F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22268C"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6BB6F" w14:textId="77777777" w:rsidR="0022268C" w:rsidRPr="008D6B7F" w:rsidRDefault="0022268C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932D" w14:textId="7F144976" w:rsidR="0022268C" w:rsidRPr="008D6B7F" w:rsidRDefault="0022268C" w:rsidP="00CC11F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2 pkt za największą ilość zdarzeń, pozostałe 0 pkt.</w:t>
            </w:r>
          </w:p>
        </w:tc>
      </w:tr>
      <w:tr w:rsidR="0022268C" w:rsidRPr="008D6B7F" w14:paraId="23EFEE20" w14:textId="13332D6F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97457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0D998" w14:textId="485332DF" w:rsidR="0022268C" w:rsidRPr="008D6B7F" w:rsidRDefault="0022268C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Praca ze strzykawkami o pojemności minimum od 5 do 50/60 ml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8413D" w14:textId="7162DD0C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  <w:r w:rsidR="008D6B7F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8D6B7F"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B814B" w14:textId="77777777" w:rsidR="0022268C" w:rsidRPr="008D6B7F" w:rsidRDefault="0022268C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BD10E" w14:textId="1EFE40BD" w:rsidR="0022268C" w:rsidRPr="008D6B7F" w:rsidRDefault="0022268C" w:rsidP="001B356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Dodatkowa praca ze strzykawkami 2/3 ml – 1 pkt</w:t>
            </w:r>
          </w:p>
        </w:tc>
      </w:tr>
      <w:tr w:rsidR="0022268C" w:rsidRPr="008D6B7F" w14:paraId="3D1061C8" w14:textId="3EF48AC8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1060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4090A" w14:textId="3CD2B699" w:rsidR="0022268C" w:rsidRPr="008D6B7F" w:rsidRDefault="0022268C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Zakres szybkości przepływu w zakresie nie mniejszym niż od 0,1 do 1200 ml/godz dla strzykawki 50 ml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BC07D" w14:textId="78C713C3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  <w:r w:rsidR="008D6B7F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8D6B7F"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5EFD" w14:textId="77777777" w:rsidR="0022268C" w:rsidRPr="008D6B7F" w:rsidRDefault="0022268C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CF92F" w14:textId="63190A88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1 pkt za najwyższą prędkość, 0 pkt za pozostałe</w:t>
            </w:r>
          </w:p>
        </w:tc>
      </w:tr>
      <w:tr w:rsidR="0022268C" w:rsidRPr="008D6B7F" w14:paraId="158EC051" w14:textId="683F6518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40A1A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561F" w14:textId="52B5FE83" w:rsidR="0022268C" w:rsidRPr="008D6B7F" w:rsidRDefault="0022268C" w:rsidP="004D58E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Objętość infuzji w zakresie nie mniejszym niż 0,1 do 999 ml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B276" w14:textId="2AF1D224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327B" w14:textId="1A176DCC" w:rsidR="0022268C" w:rsidRPr="008D6B7F" w:rsidRDefault="0022268C" w:rsidP="004D58E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847BD1" w14:textId="0FDBDFDD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78BCAEDC" w14:textId="1C19B59E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4B087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5015C" w14:textId="0127CFF8" w:rsidR="0022268C" w:rsidRPr="008D6B7F" w:rsidRDefault="0022268C" w:rsidP="004820FE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zmiany prędkości podaży leku w trakcie pracy bez konieczności wyłączenia pompy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209DA" w14:textId="6F6216C9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0CB76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7A2A7C" w14:textId="211117FB" w:rsidR="0022268C" w:rsidRPr="008D6B7F" w:rsidRDefault="0022268C" w:rsidP="00CC11F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1EA4A1D1" w14:textId="37B9790E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D29A0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2DB22" w14:textId="27D1B9E6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Dokładność systemu przy szybkości 1 ml/godz i powyżej –    ( ± 3% 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D7281" w14:textId="084E0A2B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  <w:r w:rsidR="008D6B7F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8D6B7F"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E9FD2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16C6" w14:textId="1D89B0CB" w:rsidR="0022268C" w:rsidRPr="008D6B7F" w:rsidRDefault="0022268C" w:rsidP="008457D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Najwyższa dokładność – 2 pkt. Pozostałe – 0 pkt.</w:t>
            </w:r>
          </w:p>
        </w:tc>
      </w:tr>
      <w:tr w:rsidR="0022268C" w:rsidRPr="008D6B7F" w14:paraId="11CDF46D" w14:textId="60A92F48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09A61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50246D" w14:textId="77777777" w:rsidR="0022268C" w:rsidRPr="008D6B7F" w:rsidRDefault="0022268C" w:rsidP="00696B0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Możliwość pracy co najmniej w następujących trybach : tylko szybkość dozowania w ml/godz; szybkość dozowania + objętość infuzji do </w:t>
            </w:r>
            <w:r w:rsidRPr="008D6B7F">
              <w:rPr>
                <w:rFonts w:ascii="Century Gothic" w:hAnsi="Century Gothic"/>
                <w:sz w:val="20"/>
                <w:szCs w:val="20"/>
              </w:rPr>
              <w:lastRenderedPageBreak/>
              <w:t>podania; objętość do podania + czas podaży</w:t>
            </w:r>
          </w:p>
          <w:p w14:paraId="3F8F51B5" w14:textId="0B924AC8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( automatyczne wyliczanie prędkości podaży)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E57C1" w14:textId="064BA4B0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98080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6BDF" w14:textId="1EF9B919" w:rsidR="0022268C" w:rsidRPr="008D6B7F" w:rsidRDefault="0022268C" w:rsidP="008457D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680886C3" w14:textId="1297D950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6A5BB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0D03F" w14:textId="6D3EC0A8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programowania infuzji w jednostkach masy: ng,  μg, mg, g, mmol, mU, U, kcal, mEq  , –  na kg masy ciała pacjenta lub nie, na czas (na 24godziny, godzinę oraz minutę).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1EE81" w14:textId="1B71DF4D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7C11A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7CE0C" w14:textId="7A904098" w:rsidR="0022268C" w:rsidRPr="008D6B7F" w:rsidRDefault="0022268C" w:rsidP="008457D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2E7D6F02" w14:textId="370679F3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26CFF7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50A80" w14:textId="0B0B0D32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Dozowanie z prędkością wyliczoną na podstawie objętości i czasu, w którym dawka ma być podana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0AD30" w14:textId="4205E1F3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D85E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93E08" w14:textId="76B9F640" w:rsidR="0022268C" w:rsidRPr="008D6B7F" w:rsidRDefault="0022268C" w:rsidP="008457D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58E28338" w14:textId="4BAADCA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858C0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179FE" w14:textId="5728E052" w:rsidR="0022268C" w:rsidRPr="008D6B7F" w:rsidRDefault="0022268C" w:rsidP="008457D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wyboru trybów pracy po zakończeniu infuzji minimum: zatrzymanie infuzji, tryb KVO (utrzymanie drożności wlewu/naczynia), kontynuacja infuzji z poprzednią prędkością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1E09D" w14:textId="5632995B" w:rsidR="0022268C" w:rsidRPr="008D6B7F" w:rsidRDefault="0022268C" w:rsidP="003645E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AA9E" w14:textId="77777777" w:rsidR="0022268C" w:rsidRPr="008D6B7F" w:rsidRDefault="0022268C" w:rsidP="008457D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86974" w14:textId="6E3223A7" w:rsidR="0022268C" w:rsidRPr="008D6B7F" w:rsidRDefault="0022268C" w:rsidP="008457D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672C7758" w14:textId="35C52CE2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0F3C2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08FB" w14:textId="148EB794" w:rsidR="0022268C" w:rsidRPr="008D6B7F" w:rsidRDefault="0022268C" w:rsidP="00D2643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Tryb BOLUS z podaniem dawki uderzeniowej bez zatrzymania infuzji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9652C" w14:textId="4225709F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AF03F" w14:textId="315E6505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F819E" w14:textId="0D5641D1" w:rsidR="0022268C" w:rsidRPr="008D6B7F" w:rsidRDefault="0022268C" w:rsidP="008457D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083D337C" w14:textId="5C73CCFC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48DB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C3E3" w14:textId="4127AFF7" w:rsidR="0022268C" w:rsidRPr="008D6B7F" w:rsidRDefault="0022268C" w:rsidP="00D2643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automatyczny (hands free) z konfigurowaną przez użytkownika prędkością podaży w zakresie min 10 – 1200 ml/h oraz objętością dawki w zakresie min 0,1 – 25 ml.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A5BC7F" w14:textId="2A9663AF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D36AB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7127E" w14:textId="5B2AB979" w:rsidR="0022268C" w:rsidRPr="008D6B7F" w:rsidRDefault="0022268C" w:rsidP="001B3567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22268C" w:rsidRPr="008D6B7F" w14:paraId="2F549F25" w14:textId="40E03906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C901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8049A" w14:textId="16AD9451" w:rsidR="0022268C" w:rsidRPr="008D6B7F" w:rsidRDefault="0022268C" w:rsidP="00D2643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ręczny (hands on) z konfigurowaną przez użytkownika prędkością podaży w zakresie min 10 – 1200 ml/h i kontrolą objętości podanego bolusa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6E98" w14:textId="1C1F9B94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0B793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3F7412" w14:textId="37E2CDC5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22268C" w:rsidRPr="008D6B7F" w14:paraId="50B441F9" w14:textId="67118D24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A28A7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6832E" w14:textId="35D47043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Automatyczna funkcja antybolus po okluzji czyli zabezpieczanie przed podaniem niekontrolowanego bolusa po alarmie okluzji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366DB" w14:textId="31E38BF0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DD62C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E1E10" w14:textId="017C489D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4C691FF0" w14:textId="3701C92F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53D875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3C2AA" w14:textId="17FA5B05" w:rsidR="0022268C" w:rsidRPr="008D6B7F" w:rsidRDefault="0022268C" w:rsidP="00E55F5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Funkcja wypełnienia drenu z prędkością regulowaną w zakresie 100 – 500 ml/h, z zakresem objetosci od 0,5 do 5 ml.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FDC81" w14:textId="7A829A31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B3E84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A3F3F" w14:textId="0928B334" w:rsidR="0022268C" w:rsidRPr="008D6B7F" w:rsidRDefault="0022268C" w:rsidP="00FC0951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22268C" w:rsidRPr="008D6B7F" w14:paraId="0B8A3D16" w14:textId="2D952461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B2209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55AA07" w14:textId="78EA67FD" w:rsidR="0022268C" w:rsidRPr="008D6B7F" w:rsidRDefault="0022268C" w:rsidP="0046482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Funkcja szybkiego startu – do automatycznego kasowania luzów między mechanizmem tłoka a strzykawką podczas rozpoczynania wlewu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8CB01" w14:textId="53A45E1A" w:rsidR="0022268C" w:rsidRPr="008D6B7F" w:rsidRDefault="0022268C" w:rsidP="0046482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8D9A" w14:textId="77777777" w:rsidR="0022268C" w:rsidRPr="008D6B7F" w:rsidRDefault="0022268C" w:rsidP="00464820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5152E" w14:textId="6B0D9603" w:rsidR="0022268C" w:rsidRPr="008D6B7F" w:rsidRDefault="0022268C" w:rsidP="00464820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22268C" w:rsidRPr="008D6B7F" w14:paraId="20D220C3" w14:textId="5CF21435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63162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BD94" w14:textId="17594C65" w:rsidR="0022268C" w:rsidRPr="008D6B7F" w:rsidRDefault="0022268C" w:rsidP="008457D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Funkcja „back off” – automatycznego wycofania tłoka celem redukcji objętości bolusa w pełnym zakresie, po zwolnieniu okluzji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0A5F8" w14:textId="57D48F63" w:rsidR="0022268C" w:rsidRPr="008D6B7F" w:rsidRDefault="0022268C" w:rsidP="003645E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BCE57" w14:textId="77777777" w:rsidR="0022268C" w:rsidRPr="008D6B7F" w:rsidRDefault="0022268C" w:rsidP="008457D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9BBB1" w14:textId="6922EDB5" w:rsidR="0022268C" w:rsidRPr="008D6B7F" w:rsidRDefault="0022268C" w:rsidP="008457DA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22268C" w:rsidRPr="008D6B7F" w14:paraId="6177CD0B" w14:textId="6C029745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F99CE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C39D1" w14:textId="284640FF" w:rsidR="0022268C" w:rsidRPr="008D6B7F" w:rsidRDefault="0022268C" w:rsidP="008457D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Biblioteka leków min 150 leków wraz z protokołami infuzji, min. 15 profili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2F9CB" w14:textId="2A383D85" w:rsidR="0022268C" w:rsidRPr="008D6B7F" w:rsidRDefault="0022268C" w:rsidP="008457D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5A5C1" w14:textId="4A9CEAB6" w:rsidR="0022268C" w:rsidRPr="008D6B7F" w:rsidRDefault="0022268C" w:rsidP="008457D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4C21F" w14:textId="00E52854" w:rsidR="0022268C" w:rsidRPr="008D6B7F" w:rsidRDefault="0022268C" w:rsidP="008457D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1D3A9943" w14:textId="17436852" w:rsidTr="008D6B7F">
        <w:trPr>
          <w:trHeight w:val="2163"/>
        </w:trPr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1F829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A1C95" w14:textId="7248DAAE" w:rsidR="0022268C" w:rsidRPr="008D6B7F" w:rsidRDefault="0022268C" w:rsidP="005D7B6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modyfikacji przez Użytkownika wybranego protokołu lekowego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731E1" w14:textId="6FFA3FF1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175F5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71417" w14:textId="6E73FA28" w:rsidR="0022268C" w:rsidRPr="008D6B7F" w:rsidRDefault="0022268C" w:rsidP="008457D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1115304D" w14:textId="01FCA755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702F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ABAE7" w14:textId="09C47F77" w:rsidR="0022268C" w:rsidRPr="008D6B7F" w:rsidRDefault="0022268C" w:rsidP="00696B0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ustawienia minimalnych i maksymalnych limitów twardych, których nie można przekroczyć  i limitów miękkich, które po zatwierdzeniu można przekroczyć dla protokołów dawkowania w bibliotece leków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10542" w14:textId="20451AFA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TAK,podać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3B0E8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9EC1" w14:textId="487E6061" w:rsidR="0022268C" w:rsidRPr="008D6B7F" w:rsidRDefault="0022268C" w:rsidP="00B92903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– 3 pkt, Nie – 0 pkt</w:t>
            </w:r>
          </w:p>
        </w:tc>
      </w:tr>
      <w:tr w:rsidR="0022268C" w:rsidRPr="008D6B7F" w14:paraId="24A4D647" w14:textId="5F532DD1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EAB9CF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7311C" w14:textId="344224C2" w:rsidR="0022268C" w:rsidRPr="008D6B7F" w:rsidRDefault="0022268C" w:rsidP="00E55F59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Możliwość zaprogramowania parametrów infuzji dla pacjenta o ciężarze w zakresie od poniżej 500 gramów do maksymalnie   250 kg 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3E334" w14:textId="6888F560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0083F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9483A" w14:textId="693A47FA" w:rsidR="0022268C" w:rsidRPr="008D6B7F" w:rsidRDefault="0022268C" w:rsidP="004373C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1E9519E8" w14:textId="5A85CFD0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D2946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54736" w14:textId="7BE8356E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Wyświetlanie wybranej przez Użytkownika nazwy leku na ekranie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9A1DC" w14:textId="1656C795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33416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20E8C" w14:textId="1A3353F5" w:rsidR="0022268C" w:rsidRPr="008D6B7F" w:rsidRDefault="0022268C" w:rsidP="004373C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678587F0" w14:textId="26427652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F954C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F7168" w14:textId="3E2893A7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Możliwość równoczesnego wyświetlenia na ekranie pompy nazwy leków zawierające największą możliwą liczbę znaków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E72BB" w14:textId="34E8BD82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  <w:r w:rsidR="008D6B7F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8D6B7F"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4281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82F26" w14:textId="12010302" w:rsidR="0022268C" w:rsidRPr="008D6B7F" w:rsidRDefault="0022268C" w:rsidP="001B67B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0,5 pkt za największą ilość pozycji, pozostałe 0 pkt.</w:t>
            </w:r>
          </w:p>
        </w:tc>
      </w:tr>
      <w:tr w:rsidR="0022268C" w:rsidRPr="008D6B7F" w14:paraId="12EF2790" w14:textId="5D49FF53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BCF8CD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A640E2" w14:textId="77777777" w:rsidR="0022268C" w:rsidRPr="008D6B7F" w:rsidRDefault="0022268C" w:rsidP="00696B0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Wskaźnik wielkości okluzji, ustawianie granicy ciśnienia okluzji przed jak i w czasie infuzji bez jej przerywania, alarmy okluzji w zakresie nie mniejszym niż od 50 do 1000 mmHg (+/-20%)</w:t>
            </w:r>
          </w:p>
          <w:p w14:paraId="54A1988E" w14:textId="6713F6D1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Ustawienie poziomu ciśnienia okluzji min. 9 </w:t>
            </w:r>
            <w:r w:rsidRPr="008D6B7F">
              <w:rPr>
                <w:rFonts w:ascii="Century Gothic" w:hAnsi="Century Gothic"/>
                <w:sz w:val="20"/>
                <w:szCs w:val="20"/>
              </w:rPr>
              <w:lastRenderedPageBreak/>
              <w:t>poziomów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64F62" w14:textId="5FBAEC4E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  <w:r w:rsidR="008D6B7F">
              <w:rPr>
                <w:rFonts w:ascii="Century Gothic" w:hAnsi="Century Gothic"/>
                <w:sz w:val="20"/>
                <w:szCs w:val="20"/>
              </w:rPr>
              <w:t xml:space="preserve">, </w:t>
            </w:r>
            <w:r w:rsidR="008D6B7F"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DF1BD" w14:textId="77777777" w:rsidR="0022268C" w:rsidRPr="008D6B7F" w:rsidRDefault="0022268C" w:rsidP="00696B00">
            <w:pPr>
              <w:pStyle w:val="Standard"/>
              <w:snapToGrid w:val="0"/>
              <w:jc w:val="both"/>
              <w:rPr>
                <w:rFonts w:ascii="Century Gothic" w:eastAsia="Batang" w:hAnsi="Century Gothic"/>
                <w:color w:val="FF0000"/>
                <w:sz w:val="20"/>
                <w:szCs w:val="20"/>
              </w:rPr>
            </w:pPr>
          </w:p>
          <w:p w14:paraId="2E004D9A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A843" w14:textId="7A4EC8E4" w:rsidR="0022268C" w:rsidRPr="008D6B7F" w:rsidRDefault="0022268C" w:rsidP="00696B0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&gt;15 poziomów 1 pkt;  pozostałe 0 pkt </w:t>
            </w:r>
          </w:p>
          <w:p w14:paraId="5CADCF1B" w14:textId="4E02E949" w:rsidR="0022268C" w:rsidRPr="008D6B7F" w:rsidRDefault="0022268C" w:rsidP="008457D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268C" w:rsidRPr="008D6B7F" w14:paraId="0C92AF32" w14:textId="13A5B2C9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D703D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712EA" w14:textId="77777777" w:rsidR="0022268C" w:rsidRPr="008D6B7F" w:rsidRDefault="0022268C" w:rsidP="00696B0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Czytelny wyświetlacz z możliwością wyświetlania min następujących informacji :</w:t>
            </w:r>
          </w:p>
          <w:p w14:paraId="6DBD8F85" w14:textId="77777777" w:rsidR="0022268C" w:rsidRPr="008D6B7F" w:rsidRDefault="0022268C" w:rsidP="00696B0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1C37CC8B" w14:textId="77777777" w:rsidR="0022268C" w:rsidRPr="008D6B7F" w:rsidRDefault="0022268C" w:rsidP="00696B00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Nazwa leku</w:t>
            </w:r>
          </w:p>
          <w:p w14:paraId="23AEA147" w14:textId="77777777" w:rsidR="0022268C" w:rsidRPr="008D6B7F" w:rsidRDefault="0022268C" w:rsidP="00696B00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Prędkość infuzji</w:t>
            </w:r>
          </w:p>
          <w:p w14:paraId="7D6DDDC8" w14:textId="77777777" w:rsidR="0022268C" w:rsidRPr="008D6B7F" w:rsidRDefault="0022268C" w:rsidP="00696B00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Informacja o trwającej infuzji  w postaci piktogramu lub alfanumerycznych zapisów</w:t>
            </w:r>
          </w:p>
          <w:p w14:paraId="7AE23C50" w14:textId="77777777" w:rsidR="0022268C" w:rsidRPr="008D6B7F" w:rsidRDefault="0022268C" w:rsidP="00696B00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Czas pozostały do końca infuzji </w:t>
            </w:r>
          </w:p>
          <w:p w14:paraId="5430B03D" w14:textId="77777777" w:rsidR="0022268C" w:rsidRPr="008D6B7F" w:rsidRDefault="0022268C" w:rsidP="00696B00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Informacja o stanie naładowania akumulatora </w:t>
            </w:r>
          </w:p>
          <w:p w14:paraId="6AE5F2A4" w14:textId="77777777" w:rsidR="0022268C" w:rsidRPr="008D6B7F" w:rsidRDefault="0022268C" w:rsidP="00696B00">
            <w:pPr>
              <w:pStyle w:val="Akapitzlist"/>
              <w:numPr>
                <w:ilvl w:val="0"/>
                <w:numId w:val="11"/>
              </w:num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Graficzny obraz stanu ciśnienia </w:t>
            </w:r>
          </w:p>
          <w:p w14:paraId="1357C574" w14:textId="3B6BBAE7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BF32" w14:textId="129A7FA8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TAK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01018" w14:textId="77777777" w:rsidR="0022268C" w:rsidRPr="008D6B7F" w:rsidRDefault="0022268C" w:rsidP="00696B00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05164E2D" w14:textId="77777777" w:rsidR="0022268C" w:rsidRPr="008D6B7F" w:rsidRDefault="0022268C" w:rsidP="00696B00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6739A2A6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B111" w14:textId="43C1C593" w:rsidR="0022268C" w:rsidRPr="008D6B7F" w:rsidRDefault="0022268C" w:rsidP="008457D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4A241C2A" w14:textId="0F27CF73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D8B8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1F698" w14:textId="7BC57F33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Funkcja Stand-By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E07D" w14:textId="62ADCFD2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9E8E2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81F42" w14:textId="410A94B7" w:rsidR="0022268C" w:rsidRPr="008D6B7F" w:rsidRDefault="0022268C" w:rsidP="008457D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1F2BE509" w14:textId="1D81CCD3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5464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77811" w14:textId="4DF7F9C3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pracy pompy w systemie zarządzającym infuzjami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5E1B2" w14:textId="3D357A0B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02203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9758" w14:textId="4797C76C" w:rsidR="0022268C" w:rsidRPr="008D6B7F" w:rsidRDefault="0022268C" w:rsidP="008457D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25CDD0ED" w14:textId="56F7ED95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4A7B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C4413" w14:textId="24CA4264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b/>
                <w:sz w:val="20"/>
                <w:szCs w:val="20"/>
              </w:rPr>
              <w:t>Alarmy optyczne i akustyczne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C5C41" w14:textId="43C307B5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BEACD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B955C" w14:textId="6B7D5F6F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268C" w:rsidRPr="008D6B7F" w14:paraId="1629E6C9" w14:textId="1FA3631A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4DA27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20400" w14:textId="7E61CD17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Dwustopniowe zróżnicowane akustyczne i optyczne (wizualne)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05B2D" w14:textId="0905F899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56ABD6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AE618" w14:textId="451EC831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50CA113A" w14:textId="0739BE23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76C1C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45C3" w14:textId="48F2EBFF" w:rsidR="0022268C" w:rsidRPr="008D6B7F" w:rsidRDefault="0022268C" w:rsidP="003A083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Okluzji z zatrzymaniem infuzji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C030A4" w14:textId="2A547A91" w:rsidR="0022268C" w:rsidRPr="008D6B7F" w:rsidRDefault="0022268C" w:rsidP="00FC095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6E582" w14:textId="77777777" w:rsidR="0022268C" w:rsidRPr="008D6B7F" w:rsidRDefault="0022268C" w:rsidP="00FC095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F9594" w14:textId="05EED9DB" w:rsidR="0022268C" w:rsidRPr="008D6B7F" w:rsidRDefault="0022268C" w:rsidP="00FC095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5D5E7949" w14:textId="7925E8BD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3BC54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D7B" w14:textId="77777777" w:rsidR="0022268C" w:rsidRPr="008D6B7F" w:rsidRDefault="0022268C" w:rsidP="00696B0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Bliskiego końca infuzji </w:t>
            </w:r>
          </w:p>
          <w:p w14:paraId="715CCFAF" w14:textId="5F7C403D" w:rsidR="0022268C" w:rsidRPr="008D6B7F" w:rsidRDefault="0022268C" w:rsidP="008457D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85F71" w14:textId="229716FF" w:rsidR="0022268C" w:rsidRPr="008D6B7F" w:rsidRDefault="0022268C" w:rsidP="00FC095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92370F" w14:textId="3B7DBB5B" w:rsidR="0022268C" w:rsidRPr="008D6B7F" w:rsidRDefault="0022268C" w:rsidP="00FC095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71F74" w14:textId="296F6F1B" w:rsidR="0022268C" w:rsidRPr="008D6B7F" w:rsidRDefault="0022268C" w:rsidP="00FC095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037A32E5" w14:textId="008D4AC0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BEB0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31F42" w14:textId="33062205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Końca infuzji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2FF17" w14:textId="0D53F109" w:rsidR="0022268C" w:rsidRPr="008D6B7F" w:rsidRDefault="0022268C" w:rsidP="00FC095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10692" w14:textId="61895485" w:rsidR="0022268C" w:rsidRPr="008D6B7F" w:rsidRDefault="0022268C" w:rsidP="00FC0951">
            <w:pPr>
              <w:pStyle w:val="Standard"/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5FA90" w14:textId="4659699B" w:rsidR="0022268C" w:rsidRPr="008D6B7F" w:rsidRDefault="0022268C" w:rsidP="00FC0951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643E1D26" w14:textId="3432D6EF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20BC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77FD9" w14:textId="6F3546C8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Alarm przypominający zatrzymana infuzja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08079" w14:textId="69E960F0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8E3A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E632F7" w14:textId="3938C1D0" w:rsidR="0022268C" w:rsidRPr="008D6B7F" w:rsidRDefault="0022268C" w:rsidP="008457D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1A3A91FD" w14:textId="1B5B740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11877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6904" w14:textId="51700E3F" w:rsidR="0022268C" w:rsidRPr="008D6B7F" w:rsidRDefault="0022268C" w:rsidP="00DB0AB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Złego zamocowania strzykawki ze wskazaniem miejsca gdzie to nastąpiło lub w przypadku napędu automatycznego – komunikat nieznana strzykawka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DABDA" w14:textId="52DF5DE1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6852A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F7439" w14:textId="5E215628" w:rsidR="0022268C" w:rsidRPr="008D6B7F" w:rsidRDefault="0022268C" w:rsidP="008457D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5F6EB161" w14:textId="2EC2ADA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F643C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53D06" w14:textId="3FF31911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Alarm zbliżającego się rozładowania akumulatora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2BFE2" w14:textId="6C158787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81D7D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01CD4" w14:textId="10FD2488" w:rsidR="0022268C" w:rsidRPr="008D6B7F" w:rsidRDefault="0022268C" w:rsidP="008457D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72AE931D" w14:textId="7A59572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7B134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5DF00" w14:textId="5A6F2AD4" w:rsidR="0022268C" w:rsidRPr="008D6B7F" w:rsidRDefault="0022268C" w:rsidP="008457D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Rozładowania baterii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8C4F0" w14:textId="75CAF468" w:rsidR="0022268C" w:rsidRPr="008D6B7F" w:rsidRDefault="0022268C" w:rsidP="008457D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7FF09" w14:textId="77777777" w:rsidR="0022268C" w:rsidRPr="008D6B7F" w:rsidRDefault="0022268C" w:rsidP="008457D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FB98F" w14:textId="060F417B" w:rsidR="0022268C" w:rsidRPr="008D6B7F" w:rsidRDefault="0022268C" w:rsidP="008457D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75B0600" w14:textId="4B3D5A54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EBC84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2ECE5" w14:textId="124FBD5D" w:rsidR="0022268C" w:rsidRPr="008D6B7F" w:rsidRDefault="0022268C" w:rsidP="0046482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Możliwość łączenie i zasilania jednym przewodem pompy w moduły min po 2 pompy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6D7F9" w14:textId="18205CAC" w:rsidR="0022268C" w:rsidRPr="008D6B7F" w:rsidRDefault="0022268C" w:rsidP="0046482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82993" w14:textId="77777777" w:rsidR="0022268C" w:rsidRPr="008D6B7F" w:rsidRDefault="0022268C" w:rsidP="00464820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FB623" w14:textId="2C8FFBB1" w:rsidR="0022268C" w:rsidRPr="008D6B7F" w:rsidRDefault="0022268C" w:rsidP="00D744F8">
            <w:pPr>
              <w:tabs>
                <w:tab w:val="left" w:pos="1020"/>
                <w:tab w:val="center" w:pos="1156"/>
              </w:tabs>
              <w:snapToGrid w:val="0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2 pompy – 0 pkt. &gt;=3 pompy – 1 pkt.</w:t>
            </w:r>
          </w:p>
        </w:tc>
      </w:tr>
      <w:tr w:rsidR="0022268C" w:rsidRPr="008D6B7F" w14:paraId="235137E6" w14:textId="4DE0ECBE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20B10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F2F37" w14:textId="2AB77A89" w:rsidR="0022268C" w:rsidRPr="008D6B7F" w:rsidRDefault="0022268C" w:rsidP="00533A2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Ustawianie poziomu ciśnienia okluzji –  min. 3 jednostki do wyboru – mmHg, kPa, PSI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338FA" w14:textId="5BE4AD50" w:rsidR="0022268C" w:rsidRPr="008D6B7F" w:rsidRDefault="0022268C" w:rsidP="00F1011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DD385" w14:textId="77777777" w:rsidR="0022268C" w:rsidRPr="008D6B7F" w:rsidRDefault="0022268C" w:rsidP="00F1011A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9C434" w14:textId="18CA3D64" w:rsidR="0022268C" w:rsidRPr="008D6B7F" w:rsidRDefault="0022268C" w:rsidP="00696B0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Tak 0,5 pkt </w:t>
            </w:r>
          </w:p>
          <w:p w14:paraId="7888632A" w14:textId="3348FF8B" w:rsidR="0022268C" w:rsidRPr="008D6B7F" w:rsidRDefault="0022268C" w:rsidP="008457D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Nie 0 pkt </w:t>
            </w:r>
          </w:p>
        </w:tc>
      </w:tr>
      <w:tr w:rsidR="0022268C" w:rsidRPr="008D6B7F" w14:paraId="0107B637" w14:textId="40389C13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A2CEC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A46AE" w14:textId="12804CB1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Mechanizm blokujący tłok zapobiegający samoczynnemu opróżnianiu strzykawki,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65F3F" w14:textId="5F0AE9EE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CC28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B057E" w14:textId="77777777" w:rsidR="0022268C" w:rsidRPr="008D6B7F" w:rsidRDefault="0022268C" w:rsidP="00416A3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Tak 0,5 pkt </w:t>
            </w:r>
          </w:p>
          <w:p w14:paraId="6814CCF5" w14:textId="433E8160" w:rsidR="0022268C" w:rsidRPr="008D6B7F" w:rsidRDefault="0022268C" w:rsidP="00416A3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Nie 0 pkt</w:t>
            </w:r>
          </w:p>
        </w:tc>
      </w:tr>
      <w:tr w:rsidR="0022268C" w:rsidRPr="008D6B7F" w14:paraId="78C188B7" w14:textId="2897274E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5FBFA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06ECD" w14:textId="19DB6607" w:rsidR="0022268C" w:rsidRPr="008D6B7F" w:rsidRDefault="0022268C" w:rsidP="00416A3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Funkcja programowania czasu infuzji przynajmniej od min. 1 – 96 godzin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90AB" w14:textId="4F92356C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5B85B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1D18C" w14:textId="77777777" w:rsidR="0022268C" w:rsidRPr="008D6B7F" w:rsidRDefault="0022268C" w:rsidP="00416A3A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Tak 0,5 pkt </w:t>
            </w:r>
          </w:p>
          <w:p w14:paraId="405E326E" w14:textId="56F0A440" w:rsidR="0022268C" w:rsidRPr="008D6B7F" w:rsidRDefault="0022268C" w:rsidP="00416A3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Nie 0 pkt</w:t>
            </w:r>
          </w:p>
        </w:tc>
      </w:tr>
      <w:tr w:rsidR="0022268C" w:rsidRPr="008D6B7F" w14:paraId="2D563D04" w14:textId="358C9C60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6BDC1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A76E6" w14:textId="1FC4D40C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Czujnik zmian ciśnienia w linii , wykrywający wzrost i spadek , bez konieczności użycia specjalnych drenów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0A9A" w14:textId="21086280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3A6DD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9BABC" w14:textId="7C334A3D" w:rsidR="0022268C" w:rsidRPr="008D6B7F" w:rsidRDefault="0022268C" w:rsidP="00696B0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– 0,5 pkt</w:t>
            </w:r>
          </w:p>
          <w:p w14:paraId="57853BDC" w14:textId="011D651D" w:rsidR="0022268C" w:rsidRPr="008D6B7F" w:rsidRDefault="0022268C" w:rsidP="008457D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Nie – 0 pkt</w:t>
            </w:r>
          </w:p>
        </w:tc>
      </w:tr>
      <w:tr w:rsidR="0022268C" w:rsidRPr="008D6B7F" w14:paraId="75327B0C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25DB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6071D" w14:textId="05A3D777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Pobór mocy przez pompę [Wat]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BEB74" w14:textId="798DA188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4AE04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ACC2D" w14:textId="1D63462C" w:rsidR="0022268C" w:rsidRPr="008D6B7F" w:rsidRDefault="0022268C" w:rsidP="0026665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Najmniejszy-1 pkt,</w:t>
            </w:r>
          </w:p>
          <w:p w14:paraId="0B848016" w14:textId="5468195B" w:rsidR="0022268C" w:rsidRPr="008D6B7F" w:rsidRDefault="0022268C" w:rsidP="00FC4F7B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Pozostałe – 0 pkt</w:t>
            </w:r>
          </w:p>
        </w:tc>
      </w:tr>
      <w:tr w:rsidR="0022268C" w:rsidRPr="008D6B7F" w14:paraId="16219475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7F2DF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D1261" w14:textId="6863A020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pracy pompy w trybie płynnego, automatycznego przejęcia infuzji przez drugą pompę, natychmiast po zakończeniu infuzji w pierwszej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6E403" w14:textId="4F50124A" w:rsidR="0022268C" w:rsidRPr="008D6B7F" w:rsidRDefault="0022268C" w:rsidP="006179D6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1997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068CF" w14:textId="32ADC44A" w:rsidR="0022268C" w:rsidRPr="008D6B7F" w:rsidRDefault="0022268C" w:rsidP="004373C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0AB6E50A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4C307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AD3C9" w14:textId="27332277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Objętość zajmowana przez pojedynczą pompę [cm3]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BA39B" w14:textId="6FBE0937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4620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F2B24" w14:textId="687488F3" w:rsidR="0022268C" w:rsidRPr="008D6B7F" w:rsidRDefault="0022268C" w:rsidP="00696B0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Najmniejsza – 2 pkt, pozostałe -0 pkt</w:t>
            </w:r>
          </w:p>
        </w:tc>
      </w:tr>
      <w:tr w:rsidR="0022268C" w:rsidRPr="008D6B7F" w14:paraId="0F84E387" w14:textId="77777777" w:rsidTr="008D6B7F">
        <w:trPr>
          <w:trHeight w:val="534"/>
        </w:trPr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545671" w14:textId="0272327B" w:rsidR="0022268C" w:rsidRPr="008D6B7F" w:rsidRDefault="0022268C" w:rsidP="00696B00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Pompy objętościowe 35 szt.</w:t>
            </w:r>
          </w:p>
        </w:tc>
      </w:tr>
      <w:tr w:rsidR="0022268C" w:rsidRPr="008D6B7F" w14:paraId="50F64135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4E24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7560" w14:textId="3515EC80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Oferowane urządzenia muszą spełniać normę                  EN 60601-1 Klasa II, typ CF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3A37D" w14:textId="251EC89D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3D46A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8D6D4" w14:textId="2902E7E8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1837D062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05EF4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7822B" w14:textId="6F8783F3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Zabezpieczenie pompy przed przypadkowym zalaniem układów mechaniki i elektroniki, podać stopień ochrony IP – wymagany nie mniej niż IP 22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9890E" w14:textId="3D376DCD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,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BCB54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44F6D" w14:textId="4FB3BBC6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1 pkt. Za najwyższy stopień IP, pozostałe 0 pkt.</w:t>
            </w:r>
          </w:p>
        </w:tc>
      </w:tr>
      <w:tr w:rsidR="0022268C" w:rsidRPr="008D6B7F" w14:paraId="6530A9D9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1F387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85729" w14:textId="27A18ED6" w:rsidR="0022268C" w:rsidRPr="008D6B7F" w:rsidRDefault="0022268C" w:rsidP="005614F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Pompa objętościowa do dożylnej podaży leków i płynów, krwi i produktów krwiopochodnych, żywienia pozajelitowego.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6EC" w14:textId="7BF16315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47C49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0BA1D" w14:textId="78048B4A" w:rsidR="0022268C" w:rsidRPr="008D6B7F" w:rsidRDefault="0022268C" w:rsidP="00D744F8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7334C539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0D655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B45F5" w14:textId="7673176F" w:rsidR="0022268C" w:rsidRPr="008D6B7F" w:rsidRDefault="0022268C" w:rsidP="00D744F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Zabezpieczenie przed swobodnym przepływem niezależnie w pompie i w drenie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7A1FE" w14:textId="3856F270" w:rsidR="0022268C" w:rsidRPr="008D6B7F" w:rsidRDefault="0022268C" w:rsidP="00D744F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E6CE2" w14:textId="77777777" w:rsidR="0022268C" w:rsidRPr="008D6B7F" w:rsidRDefault="0022268C" w:rsidP="00D744F8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51349" w14:textId="7A9F88ED" w:rsidR="0022268C" w:rsidRPr="008D6B7F" w:rsidRDefault="0022268C" w:rsidP="00D744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14E10B78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F06C7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3EFDD" w14:textId="5554EEEC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Automatycznie uruchamiana blokada swobodnego przepływu w drenie po otwarciu drzwiczek pompy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5B686" w14:textId="365EB31E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B7DFDC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3E912" w14:textId="6A0A6880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5A50DC90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1A95A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AA25C" w14:textId="2C57F834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Zasilanie 220-240 V AC, 50 Hz 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373E5" w14:textId="45D9A67A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F52E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7A926" w14:textId="05EE92D8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6C8CBF2A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A5E45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F74BA" w14:textId="49D46A04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Niezależny wskaźnik stanu naładowania akumulatora pompy wyświetlający poziom naładowania/rozładowania akumulatora. Wskaźnik przedstawiać ma użytkownikowi orientacyjny poziom naładowania/rozładowania akumulatora w danej chwili, dlatego Zamawiający  dopuszcza prezentację tego parametru w stanie włączenia jak i wyłączenia pompy. Zamawiający nie dopuszcza prezentacji stanu naładowania /rozładowania akumulatora w trybie serwisowym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DE08E" w14:textId="74F3F12B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– podać opis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9162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8931D" w14:textId="4D77F708" w:rsidR="0022268C" w:rsidRPr="008D6B7F" w:rsidRDefault="0022268C" w:rsidP="00D744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446FE660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EA5EA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055B" w14:textId="0E4CC3DA" w:rsidR="0022268C" w:rsidRPr="008D6B7F" w:rsidRDefault="0022268C" w:rsidP="00C6742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Czas pracy pompy przy zasilaniu akumulatorowym, dla szybkości dozowania 25 ml/godz. nie mniej niż 5 godzin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A5DEE" w14:textId="320242C9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D266A0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8A59" w14:textId="1BC8E287" w:rsidR="0022268C" w:rsidRPr="008D6B7F" w:rsidRDefault="0022268C" w:rsidP="00D744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1 pkt za najdłuższy czas, pozostałe 0 pkt.</w:t>
            </w:r>
          </w:p>
        </w:tc>
      </w:tr>
      <w:tr w:rsidR="0022268C" w:rsidRPr="008D6B7F" w14:paraId="00F5A164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CAA4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BC047" w14:textId="04A70FCA" w:rsidR="0022268C" w:rsidRPr="008D6B7F" w:rsidRDefault="0022268C" w:rsidP="00C6742D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Dokładność podaży objętościowa min. ± 5%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67AA" w14:textId="18157B72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D8F8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B882" w14:textId="0B2D8DB3" w:rsidR="0022268C" w:rsidRPr="008D6B7F" w:rsidRDefault="0022268C" w:rsidP="00D744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551D4F94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D2DDA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4EAB3" w14:textId="6DA1B1DD" w:rsidR="0022268C" w:rsidRPr="008D6B7F" w:rsidRDefault="0022268C" w:rsidP="00963290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Bateria o krótkim czasie ładowania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16112" w14:textId="77777777" w:rsidR="0022268C" w:rsidRPr="008D6B7F" w:rsidRDefault="0022268C" w:rsidP="001B3567">
            <w:pPr>
              <w:pStyle w:val="Domylnie"/>
              <w:jc w:val="center"/>
              <w:rPr>
                <w:rFonts w:ascii="Century Gothic" w:hAnsi="Century Gothic"/>
                <w:kern w:val="2"/>
                <w:sz w:val="20"/>
                <w:szCs w:val="20"/>
                <w:lang w:val="pl-PL" w:eastAsia="ar-SA"/>
              </w:rPr>
            </w:pPr>
            <w:r w:rsidRPr="008D6B7F">
              <w:rPr>
                <w:rFonts w:ascii="Century Gothic" w:hAnsi="Century Gothic"/>
                <w:kern w:val="2"/>
                <w:sz w:val="20"/>
                <w:szCs w:val="20"/>
                <w:lang w:val="pl-PL" w:eastAsia="ar-SA"/>
              </w:rPr>
              <w:t>TAK</w:t>
            </w:r>
          </w:p>
          <w:p w14:paraId="657CA68C" w14:textId="0E553C32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E3AAC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DD551" w14:textId="41E87820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268C" w:rsidRPr="008D6B7F" w14:paraId="45B95E9D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82C1B9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EB1B3" w14:textId="5465DE0F" w:rsidR="0022268C" w:rsidRPr="008D6B7F" w:rsidRDefault="0022268C" w:rsidP="00F87151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wymiany akumulatora przez użytkownika bez użycia specjalnych narzędzi i wykonywania przeglądu technicznego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3CB30" w14:textId="59B78D22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BBE4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2F04C" w14:textId="47B850BA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– 1 pkt, Nie – 0 pkt</w:t>
            </w:r>
          </w:p>
        </w:tc>
      </w:tr>
      <w:tr w:rsidR="0022268C" w:rsidRPr="008D6B7F" w14:paraId="75DADA18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800E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07CD1" w14:textId="04FDD45A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Funkcja STAND-BY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2EC7" w14:textId="18C83FF0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C3B65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F66E3" w14:textId="41581094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268C" w:rsidRPr="008D6B7F" w14:paraId="2CAACD92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DBD6F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928C3" w14:textId="5549995A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blokady ustawienia prędkości infuzji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87B8" w14:textId="038CF042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C979B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0CF3A" w14:textId="50E9D04B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14CAC449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D2A4A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C20F7" w14:textId="4117BC0F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Wbudowany w pompie, system mocowania na szynie medycznej oraz na masztach infuzyjnych bez dodatkowo montowanych uchwytów lub z dodatkowo montowanymi uchwytami.(dla 70% pomp)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97388" w14:textId="0F855E6A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1ED0B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F8128" w14:textId="7E47BC41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1344D313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8D599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72773" w14:textId="316D962E" w:rsidR="0022268C" w:rsidRPr="008D6B7F" w:rsidRDefault="0022268C" w:rsidP="00FA540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Wbudowany, nie demontowany uchwyt ułatwiający przenoszenie pompy lub uchwyt montowany dodatkowo (w przypadku demotowalnego dla 70% pomp)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12A96" w14:textId="7C14CF63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BA518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5313" w14:textId="51AD1651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BF5DE0E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24B34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EBF8C9" w14:textId="7D308D9F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Dla pomp posiadających zasilacz zewnętrzny, zasilacze dla 70% pomp.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40A44" w14:textId="446439C1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AA4FA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CF3B" w14:textId="64A3D156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48F2E643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48DD5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220E8" w14:textId="5F643C23" w:rsidR="0022268C" w:rsidRPr="008D6B7F" w:rsidRDefault="0022268C" w:rsidP="00B3713E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Zatrzaskowy system mocowania do stacji dokującej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56022" w14:textId="2363FE8F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860239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00093" w14:textId="4E297762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46377164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787088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1E33B" w14:textId="27D5D6BA" w:rsidR="0022268C" w:rsidRPr="008D6B7F" w:rsidRDefault="0022268C" w:rsidP="00904FE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Wbudowany interfejs z systemem dwustronnej komunikacji z systemem zarządzającym infuzją oraz innym pompami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F70F65" w14:textId="519B552B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820A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87864A" w14:textId="4F1F23EB" w:rsidR="0022268C" w:rsidRPr="008D6B7F" w:rsidRDefault="0022268C" w:rsidP="001B67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289124C2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5DF1F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D8146" w14:textId="78B1CB47" w:rsidR="0022268C" w:rsidRPr="008D6B7F" w:rsidRDefault="0022268C" w:rsidP="00FA540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Ciężar urządzenia [kg]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5528A" w14:textId="0C28830B" w:rsidR="0022268C" w:rsidRPr="008D6B7F" w:rsidRDefault="008D6B7F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22268C" w:rsidRPr="008D6B7F">
              <w:rPr>
                <w:rFonts w:ascii="Century Gothic" w:hAnsi="Century Gothic"/>
                <w:sz w:val="20"/>
                <w:szCs w:val="20"/>
              </w:rPr>
              <w:t>Nie więcej niż 2,5 kg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C5891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E83BF" w14:textId="71CB92DD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1 pkt – za najniższy ciężar , pozostałe 0 pkt</w:t>
            </w:r>
          </w:p>
        </w:tc>
      </w:tr>
      <w:tr w:rsidR="0022268C" w:rsidRPr="008D6B7F" w14:paraId="29EAAB24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BEF61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B5254" w14:textId="29CE0CD7" w:rsidR="0022268C" w:rsidRPr="008D6B7F" w:rsidRDefault="0022268C" w:rsidP="00FA5405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Duży, czytelny wyświetlacz wbudowany w pompie, z szerokim kątem widzenia z każdej </w:t>
            </w:r>
            <w:r w:rsidRPr="008D6B7F">
              <w:rPr>
                <w:rFonts w:ascii="Century Gothic" w:hAnsi="Century Gothic"/>
                <w:sz w:val="20"/>
                <w:szCs w:val="20"/>
              </w:rPr>
              <w:lastRenderedPageBreak/>
              <w:t>strony, o największej powierzchni (w cm</w:t>
            </w:r>
            <w:r w:rsidRPr="008D6B7F">
              <w:rPr>
                <w:rFonts w:ascii="Century Gothic" w:hAnsi="Century Gothic"/>
                <w:sz w:val="20"/>
                <w:szCs w:val="20"/>
                <w:vertAlign w:val="superscript"/>
              </w:rPr>
              <w:t>2</w:t>
            </w:r>
            <w:r w:rsidRPr="008D6B7F">
              <w:rPr>
                <w:rFonts w:ascii="Century Gothic" w:hAnsi="Century Gothic"/>
                <w:sz w:val="20"/>
                <w:szCs w:val="20"/>
              </w:rPr>
              <w:t>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21E30" w14:textId="60CF64CD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lastRenderedPageBreak/>
              <w:t xml:space="preserve">Podać 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CB75B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066F" w14:textId="17E9E8A8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0DDF885C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43D40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E8A6D" w14:textId="30DD1339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Historia zdarzeń, przechowywana w pamięci pompy dostępna dla personelu lub z urządzeniami dodatkowymi, o największej możliwej liczbie zdarzeń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31710E" w14:textId="66DAC22A" w:rsidR="0022268C" w:rsidRPr="008D6B7F" w:rsidRDefault="008D6B7F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22268C"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2CC40" w14:textId="77777777" w:rsidR="0022268C" w:rsidRPr="008D6B7F" w:rsidRDefault="0022268C" w:rsidP="001B3567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  <w:r w:rsidRPr="008D6B7F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  <w:p w14:paraId="63CB10C8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FBBAD" w14:textId="7DE29374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1  pkt za największą ilość zdarzeń, pozostałe 0 pkt.</w:t>
            </w:r>
          </w:p>
        </w:tc>
      </w:tr>
      <w:tr w:rsidR="0022268C" w:rsidRPr="008D6B7F" w14:paraId="667D0E31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EE0DA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4F294" w14:textId="783FD208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równoczesnego wyświetlenia na ekranie pompy nazwy leków zawierające największą możliwą liczbę znaków z dużymi literami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AEC96" w14:textId="436977B7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01A4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2F7E7" w14:textId="4C94091C" w:rsidR="0022268C" w:rsidRPr="008D6B7F" w:rsidRDefault="0022268C" w:rsidP="001B67B6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E8651F7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64D42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EC68D" w14:textId="4022763B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Skuteczne zabezpieczenie wprowadzonych do pompy danych, których zmiany może dokonać tylko upoważniony administrator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3E670" w14:textId="051E8B9B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C4102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6E043" w14:textId="7FDE686F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18B7011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52A9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706BF" w14:textId="12597432" w:rsidR="0022268C" w:rsidRPr="008D6B7F" w:rsidRDefault="0022268C" w:rsidP="00FE7723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Funkcja programowania objętości do podania  0,1- 9999 ml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A8FB3" w14:textId="0CCB5E09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79659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FC9BE" w14:textId="70E337C3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579E2487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70156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B0CD2" w14:textId="57DF3265" w:rsidR="0022268C" w:rsidRPr="008D6B7F" w:rsidRDefault="0022268C" w:rsidP="00FE7723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zaprogramowania objętości infuzji dla trwającego wlewu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7A030" w14:textId="289D1E97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951B7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0B21F" w14:textId="2EAB4ECA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7A40221A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C4401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9C8F5" w14:textId="7CFA5D3E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Podaż krwi i preparatów krwiopochodnych poprzez zastosowanie dedykowanych aparatów do infuzji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F3CBD" w14:textId="2BD806C4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EA016A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528EE" w14:textId="7ED2FAB8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1 pkt – </w:t>
            </w:r>
            <w:r w:rsidR="008D6B7F" w:rsidRPr="008D6B7F">
              <w:rPr>
                <w:rFonts w:ascii="Century Gothic" w:hAnsi="Century Gothic"/>
                <w:sz w:val="20"/>
                <w:szCs w:val="20"/>
              </w:rPr>
              <w:t xml:space="preserve">pompa posiada </w:t>
            </w:r>
            <w:r w:rsidRPr="008D6B7F">
              <w:rPr>
                <w:rFonts w:ascii="Century Gothic" w:hAnsi="Century Gothic"/>
                <w:sz w:val="20"/>
                <w:szCs w:val="20"/>
              </w:rPr>
              <w:t>certyfikat świad</w:t>
            </w:r>
            <w:r w:rsidR="008D6B7F">
              <w:rPr>
                <w:rFonts w:ascii="Century Gothic" w:hAnsi="Century Gothic"/>
                <w:sz w:val="20"/>
                <w:szCs w:val="20"/>
              </w:rPr>
              <w:t>czący o braku zjawiska hemolizy</w:t>
            </w:r>
            <w:r w:rsidRPr="008D6B7F">
              <w:rPr>
                <w:rFonts w:ascii="Century Gothic" w:hAnsi="Century Gothic"/>
                <w:sz w:val="20"/>
                <w:szCs w:val="20"/>
              </w:rPr>
              <w:t>, w trakcie przetaczania krwi</w:t>
            </w:r>
            <w:r w:rsidR="008D6B7F">
              <w:rPr>
                <w:rFonts w:ascii="Century Gothic" w:hAnsi="Century Gothic"/>
                <w:sz w:val="20"/>
                <w:szCs w:val="20"/>
              </w:rPr>
              <w:t>,</w:t>
            </w:r>
            <w:r w:rsidRPr="008D6B7F">
              <w:rPr>
                <w:rFonts w:ascii="Century Gothic" w:hAnsi="Century Gothic"/>
                <w:sz w:val="20"/>
                <w:szCs w:val="20"/>
              </w:rPr>
              <w:t xml:space="preserve"> NIE – 0 pkt</w:t>
            </w:r>
          </w:p>
        </w:tc>
      </w:tr>
      <w:tr w:rsidR="0022268C" w:rsidRPr="008D6B7F" w14:paraId="554B1015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3204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6C97" w14:textId="1D3CCCD5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pracy z zestawami typu „Low Sorbing” lub Zamawiający  dopuści   możliwość pracy  z zestawami  o parametrach oczekiwanych w tym punkcie,  ale  nieokreślanymi jako „low sorbing”, których nazwa wskazuje na jednego producenta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2ABFB" w14:textId="408ABB28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AB4B7" w14:textId="77777777" w:rsidR="0022268C" w:rsidRPr="008D6B7F" w:rsidRDefault="0022268C" w:rsidP="001B3567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58339962" w14:textId="77777777" w:rsidR="0022268C" w:rsidRPr="008D6B7F" w:rsidRDefault="0022268C" w:rsidP="001B3567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12CC8ED5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04244" w14:textId="4E903AB0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4E4F5266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BD47B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321BE" w14:textId="0E2855F8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Podaży lipidów poprzez dedykowane aparaty z filtrem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2C33" w14:textId="3C76D161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66085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8670" w14:textId="354B3840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229594B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8F97B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7C923" w14:textId="21B9CA11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Praca z zestawami z Biuretą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C1B4E" w14:textId="6F89A758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06624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B2EA6" w14:textId="0EE5CB84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587D1CC0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3548E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FC246" w14:textId="20BD33B0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Dostępność łączników bezigłowych w zestawach dedykowanych do pomp objętościowych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CC67A" w14:textId="1574AB46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7285C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3CCC" w14:textId="37DB6915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C5576E9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4C5E5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8BB5B" w14:textId="775B1D7F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Podaż infuzji podstawowej i dodatkowej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71BE" w14:textId="7D878D4A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05E24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855EE" w14:textId="54444F56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6B85E10F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F8E41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123A4" w14:textId="5BA46F08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Niezależne programowanie infuzji podstawowej i dodatkowej przed rozpoczęciem wlewu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0FDC1" w14:textId="4E44691C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3B146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4B44E" w14:textId="318143E5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7A3E56FA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7FCA8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6712C" w14:textId="77777777" w:rsidR="0022268C" w:rsidRPr="008D6B7F" w:rsidRDefault="0022268C" w:rsidP="001B356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Wykrywanie pęcherzyków powietrza w drenie z możliwością określenia ich wielkości – podać wielkości pęcherzyków powietrza, jakie można zaprogramować – max. wielkość 500 µl; min. 4 ustawiane wielkości</w:t>
            </w:r>
          </w:p>
          <w:p w14:paraId="43007BAD" w14:textId="77777777" w:rsidR="0022268C" w:rsidRPr="008D6B7F" w:rsidRDefault="0022268C" w:rsidP="001B356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Lub</w:t>
            </w:r>
          </w:p>
          <w:p w14:paraId="5544646A" w14:textId="04957BC3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Funkcja wykrywania powietrza w linii z możliwością programowania rozmiaru wykrywanego pęcherzyka lub skumulowanego powietrza zmierzonego w ciągu 15 minut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D16DE" w14:textId="75B98822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30CC1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143E" w14:textId="69A86534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1A39A57F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BA776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3043" w14:textId="7C3F6875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pracy w min. następujących trybach: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C3E60" w14:textId="27975847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1C003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03CCF" w14:textId="7422545C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569F50CB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EB9E0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D9DD0" w14:textId="640B52F1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-szybkość dozowania – w ml/godz., jednostkach masowych w stosunku do czasu – wymienić jednostki, i w jednostkach masowych w stosunku do wagi pacjenta i czasu – wymienić jednostki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C33CA" w14:textId="2179DB9E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BB68F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74E2F" w14:textId="5AEAFDBC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787B1632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B4EEB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58AD" w14:textId="0414FE20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-szybkość dozowania + objętość infuzji do podania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AD61" w14:textId="3465C986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D357C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9A852" w14:textId="3FF0E07D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78C36ECB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F7626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5E8E" w14:textId="16E0E7D7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objętość do podania + czas podaży (automatyczne wyliczanie prędkości podaży)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C43C1" w14:textId="4D2AE112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0189C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CD5D1" w14:textId="010951B3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762530FA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E4EFA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8BB31" w14:textId="5D8FF18E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z kalkulatorem lekowym automatycznie  obliczającym dawkowanie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20FB5" w14:textId="7632B0E5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1627A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C65A" w14:textId="11B94478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4ECBF8AE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4CF33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D8C0C" w14:textId="0B846C10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zmiany prędkości podaży leku w trakcie pracy bez konieczności wyłączenia pompy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2B539" w14:textId="72326BB0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3F3820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91D76" w14:textId="135A42E4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448B1BD7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09A0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DED82" w14:textId="08C4D35D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Biblioteka leków min 150 leków wraz z protokołami infuzji, min. 15 profili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D586B" w14:textId="01ED428C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B039" w14:textId="061EAB56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6731E" w14:textId="619FB7BE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002CA9AD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7EE0F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7EF4" w14:textId="4758D906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Podział leków w bibliotece na profile (rodzaj pacjenta lub oddział/pododdział) z możliwością umieszczenia tego samego leku w różnych profilach – preferowana największa ilość dostępnych profili, ale nie mniej niż 10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737C0" w14:textId="368A87AF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283D0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0981" w14:textId="2614B4C5" w:rsidR="0022268C" w:rsidRPr="008D6B7F" w:rsidRDefault="0022268C" w:rsidP="001B3567">
            <w:pPr>
              <w:pStyle w:val="Domylnie"/>
              <w:jc w:val="center"/>
              <w:rPr>
                <w:rFonts w:ascii="Century Gothic" w:hAnsi="Century Gothic"/>
                <w:kern w:val="2"/>
                <w:sz w:val="20"/>
                <w:szCs w:val="20"/>
                <w:lang w:val="pl-PL" w:eastAsia="ar-SA"/>
              </w:rPr>
            </w:pPr>
            <w:r w:rsidRPr="008D6B7F">
              <w:rPr>
                <w:rFonts w:ascii="Century Gothic" w:hAnsi="Century Gothic"/>
                <w:kern w:val="2"/>
                <w:sz w:val="20"/>
                <w:szCs w:val="20"/>
                <w:lang w:val="pl-PL" w:eastAsia="ar-SA"/>
              </w:rPr>
              <w:t>1 pkt</w:t>
            </w:r>
          </w:p>
          <w:p w14:paraId="136D9E44" w14:textId="77777777" w:rsidR="0022268C" w:rsidRPr="008D6B7F" w:rsidRDefault="0022268C" w:rsidP="001B3567">
            <w:pPr>
              <w:pStyle w:val="Domylnie"/>
              <w:jc w:val="center"/>
              <w:rPr>
                <w:rFonts w:ascii="Century Gothic" w:hAnsi="Century Gothic"/>
                <w:kern w:val="2"/>
                <w:sz w:val="20"/>
                <w:szCs w:val="20"/>
                <w:lang w:val="pl-PL" w:eastAsia="ar-SA"/>
              </w:rPr>
            </w:pPr>
            <w:r w:rsidRPr="008D6B7F">
              <w:rPr>
                <w:rFonts w:ascii="Century Gothic" w:hAnsi="Century Gothic"/>
                <w:kern w:val="2"/>
                <w:sz w:val="20"/>
                <w:szCs w:val="20"/>
                <w:lang w:val="pl-PL" w:eastAsia="ar-SA"/>
              </w:rPr>
              <w:t>za większą niż 10 ilość profili;</w:t>
            </w:r>
          </w:p>
          <w:p w14:paraId="58278BD7" w14:textId="6F5D48AE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0 pkt za ilość &lt;= 10 profili</w:t>
            </w:r>
          </w:p>
        </w:tc>
      </w:tr>
      <w:tr w:rsidR="0022268C" w:rsidRPr="008D6B7F" w14:paraId="2DA7A9C8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5FAE8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784CD" w14:textId="68BA1AF8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modyfikacji przez Użytkownika wybranego protokołu lekowego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E91A0" w14:textId="46A97B2D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C58936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D872D" w14:textId="6EE75A71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2CDB0587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92EBB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283F1" w14:textId="3C858CE0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ustawienia minimalnych i maksymalnych limitów twardych, których nie można przekroczyć  i limitów miękkich, które po zatwierdzeniu można przekroczyć dla protokołów dawkowania w bibliotece leków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C7D62" w14:textId="6A7A2F89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2E15C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C4836" w14:textId="6C7E8384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– 2 pkt, Nie – 0 pkt</w:t>
            </w:r>
          </w:p>
        </w:tc>
      </w:tr>
      <w:tr w:rsidR="0022268C" w:rsidRPr="008D6B7F" w14:paraId="279363E2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FD193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7E3D3" w14:textId="4C885C9C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wyboru trybów pracy po zakończeniu infuzji: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BCCF2" w14:textId="265597AD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26211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90437" w14:textId="3CA89ADE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24BC3D6E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BADE4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AE709" w14:textId="2B4A1A61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zatrzymanie infuzji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0AA1" w14:textId="54E2CC03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A8B79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5148" w14:textId="1BB96197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38BFCBE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D6B9E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67141" w14:textId="31E190CF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tryb KVO (utrzymanie drożności wlewu/naczynia – zapobieganie obturacji) z regulacją prędkości podaży przez Użytkownika w zakresie nie mniejszym niż 0,1-20 ml/godz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390D3" w14:textId="357D1C75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A9B3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5F098" w14:textId="1BB98461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19A9A6A7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D2BA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FEAE8" w14:textId="371848D8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Tryb BOLUS z podaniem dawki uderzeniowej bez zatrzymania infuzji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3AF1C" w14:textId="39AF4483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17D25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AC238" w14:textId="13E4185B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6827090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B1303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125C" w14:textId="30870877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- automatyczny (hands free) z konfigurowaną przez użytkownika prędkością podaży w zakresie min 10 – 1200 ml/h oraz objętością dawki w </w:t>
            </w:r>
            <w:r w:rsidRPr="008D6B7F">
              <w:rPr>
                <w:rFonts w:ascii="Century Gothic" w:hAnsi="Century Gothic"/>
                <w:sz w:val="20"/>
                <w:szCs w:val="20"/>
              </w:rPr>
              <w:lastRenderedPageBreak/>
              <w:t>zakresie min 0,1 – 25 ml.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3D11" w14:textId="475C99EB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lastRenderedPageBreak/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9B9B9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6D47C" w14:textId="725B1636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22268C" w:rsidRPr="008D6B7F" w14:paraId="28546BA1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52425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8857F" w14:textId="27F12BDB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ręczny (hands on) z konfigurowaną przez użytkownika prędkością podaży w zakresie min 10 – 1200 ml/h i kontrolą objętości podanego bolusa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61BC0" w14:textId="6A2C26A8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5A95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6EB0F" w14:textId="03082D3C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 - 0,5 pkt. Nie – 0 pkt.</w:t>
            </w:r>
          </w:p>
        </w:tc>
      </w:tr>
      <w:tr w:rsidR="0022268C" w:rsidRPr="008D6B7F" w14:paraId="738E0D5E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1B669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6EF71C" w14:textId="77777777" w:rsidR="0022268C" w:rsidRPr="008D6B7F" w:rsidRDefault="0022268C" w:rsidP="001B356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Wskaźnik wielkości okluzji, ustawianie granicy ciśnienia okluzji przed jak i w czasie infuzji bez jej przerywania, alarmy okluzji w zakresie nie mniejszym niż od 225 do 1000 mmHg (+/-20%)</w:t>
            </w:r>
          </w:p>
          <w:p w14:paraId="41AFB974" w14:textId="780AEEDF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Ustawienie poziomu ciśnienia okluzji min. 9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72C8" w14:textId="567ACB09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BF302" w14:textId="77777777" w:rsidR="0022268C" w:rsidRPr="008D6B7F" w:rsidRDefault="0022268C" w:rsidP="001B3567">
            <w:pPr>
              <w:pStyle w:val="Standard"/>
              <w:snapToGrid w:val="0"/>
              <w:jc w:val="both"/>
              <w:rPr>
                <w:rFonts w:ascii="Century Gothic" w:eastAsia="Batang" w:hAnsi="Century Gothic"/>
                <w:color w:val="FF0000"/>
                <w:sz w:val="20"/>
                <w:szCs w:val="20"/>
              </w:rPr>
            </w:pPr>
          </w:p>
          <w:p w14:paraId="47C21BC0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66C4C" w14:textId="2A80B2F9" w:rsidR="0022268C" w:rsidRPr="008D6B7F" w:rsidRDefault="0022268C" w:rsidP="001B356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&gt;15 poziomów 1 pkt;  pozostałe 0 pkt </w:t>
            </w:r>
          </w:p>
          <w:p w14:paraId="7CAF7E52" w14:textId="075D94FB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22268C" w:rsidRPr="008D6B7F" w14:paraId="4B718A03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3B979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F2735" w14:textId="58E5478C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Funkcja wypełnienia drenu z wyborem przez Użytkownika prędkości w zakresie nie mniejszym niż 100-500 ml/godz. i objętości wypełnienia drenu w zakresie nie mniejszym niż 5-50 ml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FE456" w14:textId="6EF69894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 liczbę progów konfiguracji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7870A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475A2" w14:textId="054853FD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7CA371B8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87DD7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ACBE1" w14:textId="77777777" w:rsidR="0022268C" w:rsidRPr="008D6B7F" w:rsidRDefault="0022268C" w:rsidP="001B356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Czytelny wyświetlacz z możliwością wyświetlania min następujących informacji :</w:t>
            </w:r>
          </w:p>
          <w:p w14:paraId="78FC4EB3" w14:textId="77777777" w:rsidR="0022268C" w:rsidRPr="008D6B7F" w:rsidRDefault="0022268C" w:rsidP="001B356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  <w:p w14:paraId="026432AD" w14:textId="77777777" w:rsidR="0022268C" w:rsidRPr="008D6B7F" w:rsidRDefault="0022268C" w:rsidP="001B356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Nazwa leku</w:t>
            </w:r>
          </w:p>
          <w:p w14:paraId="58F8BDE2" w14:textId="77777777" w:rsidR="0022268C" w:rsidRPr="008D6B7F" w:rsidRDefault="0022268C" w:rsidP="001B356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Prędkość infuzji</w:t>
            </w:r>
          </w:p>
          <w:p w14:paraId="5999794B" w14:textId="77777777" w:rsidR="0022268C" w:rsidRPr="008D6B7F" w:rsidRDefault="0022268C" w:rsidP="001B356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Informacja o trwającej infuzji  w postaci piktogramu lub alfanumerycznych zapisów</w:t>
            </w:r>
          </w:p>
          <w:p w14:paraId="6FCF1C31" w14:textId="77777777" w:rsidR="0022268C" w:rsidRPr="008D6B7F" w:rsidRDefault="0022268C" w:rsidP="001B356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Czas pozostały do końca infuzji </w:t>
            </w:r>
          </w:p>
          <w:p w14:paraId="77797DDB" w14:textId="77777777" w:rsidR="0022268C" w:rsidRPr="008D6B7F" w:rsidRDefault="0022268C" w:rsidP="001B356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Informacja o stanie naładowania akumulatora </w:t>
            </w:r>
          </w:p>
          <w:p w14:paraId="0ADE36B8" w14:textId="77777777" w:rsidR="0022268C" w:rsidRPr="008D6B7F" w:rsidRDefault="0022268C" w:rsidP="001B356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Graficzny obraz stanu ciśnienia - wybrane ciśnienie alarmu okluzji,</w:t>
            </w:r>
          </w:p>
          <w:p w14:paraId="09E5E393" w14:textId="77777777" w:rsidR="0022268C" w:rsidRPr="008D6B7F" w:rsidRDefault="0022268C" w:rsidP="001B356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ikona stanu naładowania baterii</w:t>
            </w:r>
          </w:p>
          <w:p w14:paraId="6F907865" w14:textId="535830C1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informacja o infuzji dodatkowej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67ABFC" w14:textId="79533859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59F2E" w14:textId="77777777" w:rsidR="0022268C" w:rsidRPr="008D6B7F" w:rsidRDefault="0022268C" w:rsidP="001B3567">
            <w:pPr>
              <w:pStyle w:val="Standard"/>
              <w:snapToGrid w:val="0"/>
              <w:jc w:val="both"/>
              <w:rPr>
                <w:rFonts w:ascii="Century Gothic" w:hAnsi="Century Gothic"/>
                <w:color w:val="FF0000"/>
                <w:sz w:val="20"/>
                <w:szCs w:val="20"/>
              </w:rPr>
            </w:pPr>
          </w:p>
          <w:p w14:paraId="683DAE99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00B6F" w14:textId="54D849F4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1 pkt za największą ilość parametrów alfanumerycznych, pozostałe 0 pkt.</w:t>
            </w:r>
          </w:p>
        </w:tc>
      </w:tr>
      <w:tr w:rsidR="0022268C" w:rsidRPr="008D6B7F" w14:paraId="0C779BE4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E9C3A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C24A0" w14:textId="0899EFDC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Praca pompy w systemie zarządzającym infuzjami poprzez stację dokującą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5F9DF" w14:textId="149372B6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FC17E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EE4AE" w14:textId="77A474E6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5FEF05C6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4218A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8F50" w14:textId="7B259203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Zróżnicowany dwustopniowy system ostrzeżeń i alarmów akustycznych i optycznych (wizualnych) z wstrzymaniem infuzji dla alarmów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1C447" w14:textId="6B5F8409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DE4B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39886" w14:textId="4A592C5A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E26D7BD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D6680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23A14" w14:textId="5A0765DD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Alarm okluzji w części górnej (pomiędzy pompą a workiem) z automatycznym wstrzymaniem infuzji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AFB96" w14:textId="68DBC213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007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21405" w14:textId="51B1373B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4CE12B36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F31EB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AF06A" w14:textId="16A0B498" w:rsidR="0022268C" w:rsidRPr="008D6B7F" w:rsidRDefault="0022268C" w:rsidP="00D744F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Alarm okluzji w części dolnej (pomiędzy pompą a pacjentem) z automatycznym wstrzymaniem infuzji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60FDC" w14:textId="2E3CDCBF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B66C7" w14:textId="77777777" w:rsidR="0022268C" w:rsidRPr="008D6B7F" w:rsidRDefault="0022268C" w:rsidP="00D744F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2C3DF" w14:textId="6FED67B2" w:rsidR="0022268C" w:rsidRPr="008D6B7F" w:rsidRDefault="0022268C" w:rsidP="00380D8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544FC033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3915A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C28A0" w14:textId="01B00F7B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Alarm końca infuzji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F506E" w14:textId="5A4E7FE1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D3852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669A6" w14:textId="108CBC4D" w:rsidR="0022268C" w:rsidRPr="008D6B7F" w:rsidRDefault="0022268C" w:rsidP="00D744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26ACE312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D3587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B3D15" w14:textId="02208D20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O przejściu w tryb KVO, zatrzymania lub kontynuacji infuzji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31B95" w14:textId="35D2AC1D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5EB82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8C5E6" w14:textId="6E21A3CF" w:rsidR="0022268C" w:rsidRPr="008D6B7F" w:rsidRDefault="0022268C" w:rsidP="00D744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58DAF593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FED33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B9831" w14:textId="1B9633CA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Alarm otwartych drzwiczek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A6166" w14:textId="6C4D7BF6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75879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A12AB" w14:textId="73997351" w:rsidR="0022268C" w:rsidRPr="008D6B7F" w:rsidRDefault="0022268C" w:rsidP="00D744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13AC3B41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BDEDE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1DC04" w14:textId="60E9DA4B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Alarm nieprawidłowego zamocowania drenu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2587A" w14:textId="0668506F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8FDAF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919B6" w14:textId="6AE255FD" w:rsidR="0022268C" w:rsidRPr="008D6B7F" w:rsidRDefault="0022268C" w:rsidP="00D744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24C63105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E1D0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08C10D" w14:textId="0809B670" w:rsidR="0022268C" w:rsidRPr="008D6B7F" w:rsidRDefault="0022268C" w:rsidP="00D744F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Alarm użytego nieprawidłowego drenu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2FD6A" w14:textId="77A88CF9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0C8B7" w14:textId="77777777" w:rsidR="0022268C" w:rsidRPr="008D6B7F" w:rsidRDefault="0022268C" w:rsidP="00D744F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DC09" w14:textId="0C275419" w:rsidR="0022268C" w:rsidRPr="008D6B7F" w:rsidRDefault="0022268C" w:rsidP="00834345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– 0,5 pkt. Nie – 0 pkt.</w:t>
            </w:r>
          </w:p>
        </w:tc>
      </w:tr>
      <w:tr w:rsidR="0022268C" w:rsidRPr="008D6B7F" w14:paraId="1E5E36E6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5347EF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B81BA" w14:textId="49F3CD18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Alarm braku przepływu (przy zastosowaniu licznika kropli)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C979B" w14:textId="290FEABC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109C0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FC891" w14:textId="5429D908" w:rsidR="0022268C" w:rsidRPr="008D6B7F" w:rsidRDefault="0022268C" w:rsidP="00D744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– 0,5 pkt. Nie – 0 pkt.</w:t>
            </w:r>
          </w:p>
        </w:tc>
      </w:tr>
      <w:tr w:rsidR="0022268C" w:rsidRPr="008D6B7F" w14:paraId="45B1E58D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CCF54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A7EB7" w14:textId="21E7865B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Alarm błędu przepływu (przy zastosowaniu licznika kropli)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C0AF9" w14:textId="4A1A1B2A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DB9CB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D513A" w14:textId="68CE0F05" w:rsidR="0022268C" w:rsidRPr="008D6B7F" w:rsidRDefault="0022268C" w:rsidP="00D744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– 0,5 pkt. Nie – 0 pkt.</w:t>
            </w:r>
          </w:p>
        </w:tc>
      </w:tr>
      <w:tr w:rsidR="0022268C" w:rsidRPr="008D6B7F" w14:paraId="2F19120D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03700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AE09A" w14:textId="5FE32C6B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Alarm powietrza w linii – dla pojedynczego pęcherzyka powietrza przekraczającego limit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575979" w14:textId="292BF783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05598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06B80" w14:textId="10DA0CFF" w:rsidR="0022268C" w:rsidRPr="008D6B7F" w:rsidRDefault="0022268C" w:rsidP="00D744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– 0,5 pkt. Nie – 0 pkt.</w:t>
            </w:r>
          </w:p>
        </w:tc>
      </w:tr>
      <w:tr w:rsidR="0022268C" w:rsidRPr="008D6B7F" w14:paraId="5A056AB0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63CA2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10BC" w14:textId="5987B195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Alarm powietrza w linii – dla skumulowanej objętości pęcherzyków powietrza – max. 1 ml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BB5C4" w14:textId="45B47845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90642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1D496" w14:textId="3776D26C" w:rsidR="0022268C" w:rsidRPr="008D6B7F" w:rsidRDefault="0022268C" w:rsidP="00D744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9229E64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AC6DE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FFD4" w14:textId="64734D87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 Alarm wstępny rozładowania baterii – na 30 minut przed jej wyczerpaniem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21EF0" w14:textId="36721B25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9BC7F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12FC7" w14:textId="528831E2" w:rsidR="0022268C" w:rsidRPr="008D6B7F" w:rsidRDefault="0022268C" w:rsidP="00D744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7A90BA12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3258B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3F659" w14:textId="4DEE83F7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Alarm rozładowania baterii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E9EA9" w14:textId="524984E7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497198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79089" w14:textId="697C7A84" w:rsidR="0022268C" w:rsidRPr="008D6B7F" w:rsidRDefault="0022268C" w:rsidP="00D744F8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251BA92D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F50BB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8EA15" w14:textId="677509AB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Alarm awarii urządzenia 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08DA6E" w14:textId="1000DEA8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08DA4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6CB21" w14:textId="0C6A9E56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628E3F65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5E450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970B" w14:textId="714911C5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Inne alarmy i ostrzeżenia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373DD" w14:textId="7EE95E73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0AA4C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1E440" w14:textId="5B490CB1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1616E40E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2DEDC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C573F" w14:textId="1C78D40B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Pobór mocy przez pojedynczą pompę [Wat]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BBDA3" w14:textId="626B797E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7076F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50969" w14:textId="5020CC43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Najmniejszy – 3 pkt pozostałe 0 pkt</w:t>
            </w:r>
          </w:p>
        </w:tc>
      </w:tr>
      <w:tr w:rsidR="0022268C" w:rsidRPr="008D6B7F" w14:paraId="0F783D2C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3DBC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74BE9" w14:textId="506F32D4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żywienia dojelitowego specjalnymi drenami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7F1CE" w14:textId="59D95A7C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1C3E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75DE9" w14:textId="77777777" w:rsidR="0022268C" w:rsidRPr="008D6B7F" w:rsidRDefault="0022268C" w:rsidP="001B356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1 pkt- TAK</w:t>
            </w:r>
          </w:p>
          <w:p w14:paraId="021C370A" w14:textId="6F1A8A8F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0 pkt - NIE</w:t>
            </w:r>
          </w:p>
        </w:tc>
      </w:tr>
      <w:tr w:rsidR="0022268C" w:rsidRPr="008D6B7F" w14:paraId="2EC24E2E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F7FDB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8A7E3" w14:textId="684284C3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Objętość zajmowanej powierzchni, zajmowana przez pojedynczą pompę [cm3]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D7332" w14:textId="5AEC0D92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94D2A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1EB72" w14:textId="38D0F060" w:rsidR="0022268C" w:rsidRPr="008D6B7F" w:rsidRDefault="0022268C" w:rsidP="00834345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Najmniejsza – 1 pkt, pozostałe -0 pkt</w:t>
            </w:r>
          </w:p>
        </w:tc>
      </w:tr>
      <w:tr w:rsidR="0022268C" w:rsidRPr="008D6B7F" w14:paraId="202885B7" w14:textId="77777777" w:rsidTr="008D6B7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85884" w14:textId="54DBFC3E" w:rsidR="0022268C" w:rsidRPr="008D6B7F" w:rsidRDefault="0022268C" w:rsidP="008A726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Stacja dokująca dla  4 pomp</w:t>
            </w:r>
          </w:p>
        </w:tc>
      </w:tr>
      <w:tr w:rsidR="0022268C" w:rsidRPr="008D6B7F" w14:paraId="1D7CDF37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E7514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E5190" w14:textId="035CA9F5" w:rsidR="0022268C" w:rsidRPr="008D6B7F" w:rsidRDefault="0022268C" w:rsidP="00D7465C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maksymalnego dokowania w stacji roboczej przynajmniej 4 pomp infuzyjnych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8BDE3A" w14:textId="14F0BD5A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1389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5F04" w14:textId="729CD2A6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923D5FF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8C14C0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4E670" w14:textId="054A29E9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Dwustronna Komunikacja z pompami infuzyjnymi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249E" w14:textId="09369003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E7146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C8D41" w14:textId="0D3F77B1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FB162D" w:rsidRPr="008D6B7F" w14:paraId="29F42F01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57A3E" w14:textId="77777777" w:rsidR="00FB162D" w:rsidRPr="008D6B7F" w:rsidRDefault="00FB162D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F77DC" w14:textId="56DF8868" w:rsidR="00FB162D" w:rsidRPr="008D6B7F" w:rsidRDefault="00FB162D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System zatrzaskowego mocowania pomp w stacji dokującej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61CDF" w14:textId="343E8621" w:rsidR="00FB162D" w:rsidRPr="008D6B7F" w:rsidRDefault="00FB162D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E6AB5" w14:textId="77777777" w:rsidR="00FB162D" w:rsidRPr="008D6B7F" w:rsidRDefault="00FB162D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07779" w14:textId="45E62F19" w:rsidR="00FB162D" w:rsidRPr="008D6B7F" w:rsidRDefault="00FB162D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8C0121B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0F3C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12A6B" w14:textId="0FE5109D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Wspólne zasilanie pomp ze stacji dokującej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5187F" w14:textId="61BB20D6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9A0DE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D5198" w14:textId="62E7AEB9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7A2EFFEB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36023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BFFBF" w14:textId="6D26C825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Ładowanie pomp natychmiast po podłączeniu do stacji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5F24D7" w14:textId="03D92496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53FDE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019EB" w14:textId="3C5D4C9C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27094A7A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CD95F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0D39" w14:textId="6250C666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montażu stacji dokującej na stojaku jezdnym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3F2FE" w14:textId="4FD82D11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D9EFC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29E7" w14:textId="3345C23D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101D9182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AEFB5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AADDF" w14:textId="16396891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montażu stacji dokującej do kolumn pionowych (uwzględniających wagę zestawu łącznie z pompami)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D29EA" w14:textId="336D4450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TAK-podać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DD10C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98770" w14:textId="2AEFCC70" w:rsidR="0022268C" w:rsidRPr="008D6B7F" w:rsidRDefault="00094E19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1</w:t>
            </w:r>
            <w:r w:rsidR="0022268C" w:rsidRPr="008D6B7F">
              <w:rPr>
                <w:rFonts w:ascii="Century Gothic" w:hAnsi="Century Gothic"/>
                <w:sz w:val="20"/>
                <w:szCs w:val="20"/>
              </w:rPr>
              <w:t xml:space="preserve"> - pkt-najmniejsza waga, 0 pkt - pozostałe</w:t>
            </w:r>
          </w:p>
        </w:tc>
      </w:tr>
      <w:tr w:rsidR="0022268C" w:rsidRPr="008D6B7F" w14:paraId="4688F0AA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3D615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8C3C3" w14:textId="6BA409D4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montażu stacji dokującej z wykorzystaniem standardowych szyn medycznych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1AEB67" w14:textId="0F19F8B1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5A6E9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0FFFB" w14:textId="72664D47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0AB73DBC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0B63B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C0200" w14:textId="59AF98B9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Wieszak na worki z płynami infuzyjnymi o regulowanej wysokości z możliwością jego demontażu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58A8D" w14:textId="4082DBAE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100D0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113E" w14:textId="77328051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 - 1 pkt. Nie – 0 pkt.</w:t>
            </w:r>
          </w:p>
        </w:tc>
      </w:tr>
      <w:tr w:rsidR="0022268C" w:rsidRPr="008D6B7F" w14:paraId="13E9E1DD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81057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7B88A" w14:textId="6771A905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Łatwo dostrzegalna panel sygnalizacyjny</w:t>
            </w:r>
            <w:r w:rsidRPr="008D6B7F">
              <w:rPr>
                <w:rFonts w:ascii="Century Gothic" w:hAnsi="Century Gothic"/>
                <w:strike/>
                <w:sz w:val="20"/>
                <w:szCs w:val="20"/>
              </w:rPr>
              <w:t xml:space="preserve"> </w:t>
            </w:r>
            <w:r w:rsidRPr="008D6B7F">
              <w:rPr>
                <w:rFonts w:ascii="Century Gothic" w:hAnsi="Century Gothic"/>
                <w:sz w:val="20"/>
                <w:szCs w:val="20"/>
              </w:rPr>
              <w:t>wskazujący stan pompy zamocowanej do stacji: praca, alarm wstępny, alarm końcowy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F654B" w14:textId="0E6E1FED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DBBF2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01A9E" w14:textId="31CB8B49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4F94BF03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932F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B2E3B" w14:textId="77777777" w:rsidR="0022268C" w:rsidRPr="008D6B7F" w:rsidRDefault="0022268C" w:rsidP="001B3567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Opcjonalna możliwość przyszłościowego włączenia roboczych stacji dokujących w system centralnego monitorowania infuzji oraz serwerowy system do zdalnego przesyłania zestawów danych i automatycznego zbierania danych infuzji</w:t>
            </w:r>
          </w:p>
          <w:p w14:paraId="753D38E1" w14:textId="0A198EEA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W przypadku rozbudowy system musi posiadać minimum :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55B1" w14:textId="77777777" w:rsidR="0022268C" w:rsidRPr="008D6B7F" w:rsidRDefault="0022268C" w:rsidP="001B356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FC020FF" w14:textId="77777777" w:rsidR="0022268C" w:rsidRPr="008D6B7F" w:rsidRDefault="0022268C" w:rsidP="001B356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  <w:p w14:paraId="18BEAB3C" w14:textId="77777777" w:rsidR="0022268C" w:rsidRPr="008D6B7F" w:rsidRDefault="0022268C" w:rsidP="001B356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  <w:p w14:paraId="48BC0287" w14:textId="7B2489EA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9D95F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4F3AB" w14:textId="65BBD30B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15D43C42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B267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EADE" w14:textId="719C3A50" w:rsidR="0022268C" w:rsidRPr="008D6B7F" w:rsidRDefault="0022268C" w:rsidP="00D744F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– kompatybilność stacji dokujących z oprogramowaniem umożliwiającym centralne monitorowanie infuzji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70B22" w14:textId="11760FCB" w:rsidR="0022268C" w:rsidRPr="008D6B7F" w:rsidRDefault="0022268C" w:rsidP="003E093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2F1F0" w14:textId="77777777" w:rsidR="0022268C" w:rsidRPr="008D6B7F" w:rsidRDefault="0022268C" w:rsidP="003E093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8752F" w14:textId="79489477" w:rsidR="0022268C" w:rsidRPr="008D6B7F" w:rsidRDefault="0022268C" w:rsidP="003E093D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79DFD1B8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85B97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5864" w14:textId="7074A27F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możliwość jednoczasowego wyświetlania na jednym monitorze wszystkich stanowisk infuzji, bez konieczności, wywoływania kolejnych ekranów wymagana jest jednoczasowa obserwacja do 24 stanowisk infuzji jednoczasowo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1D870" w14:textId="458AD959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8E794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8D6A7" w14:textId="7AC104DE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554C24D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D6A78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A435A" w14:textId="59E4BB2C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wizualne rozróżnienie, różnych terapii dożylnych, w centrali monitorowania ( np. terapi TCI, TIVA, Enteral itp )w pompach objętościowych i strzykawkowych</w:t>
            </w:r>
            <w:r w:rsidRPr="008D6B7F">
              <w:rPr>
                <w:rFonts w:ascii="Century Gothic" w:hAnsi="Century Gothic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A6B1A7" w14:textId="36ED70DC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A4B54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8B280" w14:textId="415A1BF6" w:rsidR="0022268C" w:rsidRPr="008D6B7F" w:rsidRDefault="00094E19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157603A5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EC9BC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DE8E5" w14:textId="41FADE25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wyświetlanie alarmów na stanowisku centralnym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C6A7D" w14:textId="5029031D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E1A52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49E9E" w14:textId="506948ED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3063163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68829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528814" w14:textId="721F7A52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przeglądanie historii infuzji u każdego pacjenta na stanowisku centralnym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B326C" w14:textId="3CA48DE8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A13D4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78781" w14:textId="0FE4C956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42D599AE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16E6C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5D557" w14:textId="570CA9BA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 tworzenie bilansu płynów na stanowisku centralnym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6359C" w14:textId="1BD83B56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374B1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08E08" w14:textId="516901E5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5B574A35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757AB6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14B12" w14:textId="447A9C1C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- transfer zestawów danych do i z pomp poprzez sieć szpitalną, bez konieczności przerywania infuzji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9B8CD" w14:textId="2EC3C9EC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339FC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44427" w14:textId="28261DDB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52352523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C6BC61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A902" w14:textId="59541A19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natychmiastowa możliwość zlokalizowania pomp w systemie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18E6A" w14:textId="0A7A0C20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1466F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E692" w14:textId="072FCF57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5178EC9E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E8F19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494B1" w14:textId="5031FA6C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Komunikacja ze szpitalną siecią komputerową i bezpośrednio z komputerem za pomocą interfejsu Ethernet lub/i za pomocą bezprzewodowego połączenia sieciowego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8FF47" w14:textId="2860D575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60A60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8FEEF" w14:textId="25E9A347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6E1E2081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A426A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2AE41" w14:textId="0F298FFF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rozbudowy stacji o adapter do łączności bezprzewodowej ze szpitalną siecią komputerową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3D3F9" w14:textId="4885DBC3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7C190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97D71" w14:textId="524CB589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05F503AE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1E782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B1641" w14:textId="63DD1F9C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przeglądania z zewnętrznego komputera lub komputera w sieci statusu infuzji i rejestru zdarzeń stacji z wykorzystaniem standardowej przeglądarki internetowej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1A602" w14:textId="35129185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A983B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EF2CA" w14:textId="246559BC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7ADCB361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AEAF3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443B9" w14:textId="5F304089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Kompatybilność z systemem PDMS co najmniej dla firm Philips, Draeger, GE, LowTec, iMDsoft, CapsuleTech, Epic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6C2B6" w14:textId="5928AD4C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883ED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A03B3" w14:textId="088D1B2C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609A2109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A89C5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43C3B" w14:textId="2858234E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Zabezpieczenie interfejsu konfiguracyjnego stacji dokującej hasłem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79267" w14:textId="584F2347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853B5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1BDF" w14:textId="6F09409E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9EC76A0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24D2F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7C1AA" w14:textId="5100E7D5" w:rsidR="0022268C" w:rsidRPr="008D6B7F" w:rsidRDefault="0022268C" w:rsidP="00D744F8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Interfejs komunikacyjny dwukierunkowy pozwalający na przesyłanie informacji do systemu HIS i zaciąganie z systemu HIS minimum danych pacjenta w standardzie HL7 przy użyciu zewnętrznego oprogramowania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D7C6F" w14:textId="2ACAA894" w:rsidR="0022268C" w:rsidRPr="008D6B7F" w:rsidRDefault="0022268C" w:rsidP="00830AA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B9AD2" w14:textId="77777777" w:rsidR="0022268C" w:rsidRPr="008D6B7F" w:rsidRDefault="0022268C" w:rsidP="00830AA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F44BB" w14:textId="3BB1F335" w:rsidR="0022268C" w:rsidRPr="008D6B7F" w:rsidRDefault="0022268C" w:rsidP="00830AA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13545A93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8FB6E9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8D9DF" w14:textId="34CC0FFF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Podtrzymanie zasilania stacji oraz komunikacji pompa-stacja dokująca oraz stacja dokująca-szpitalna sieć komputerowa w przypadku odłączenia zasilania z gniazda sieciowego przez </w:t>
            </w:r>
            <w:r w:rsidRPr="008D6B7F">
              <w:rPr>
                <w:rFonts w:ascii="Century Gothic" w:hAnsi="Century Gothic"/>
                <w:sz w:val="20"/>
                <w:szCs w:val="20"/>
              </w:rPr>
              <w:lastRenderedPageBreak/>
              <w:t>minimum 60 minut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AEF97" w14:textId="138E7804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65ACE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80B4" w14:textId="5B9EE4C7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AADEB20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38382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8DE5B" w14:textId="79BB9063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Szybkie ładowanie akmumulatorów Stacji roboczej – od całkowitego rozładowania do naładowania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71184" w14:textId="2B9F2DF6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7C13A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6CCAD3" w14:textId="14B303EC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182EA3C0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208CF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8D366" w14:textId="32AA2823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wymiany akumulatora przez użytkownika bez użycia specjalnych narzędzi i wykonywania przeglądu technicznego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2E6F8" w14:textId="16853311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75B0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041" w14:textId="06D66278" w:rsidR="0022268C" w:rsidRPr="008D6B7F" w:rsidRDefault="0022268C" w:rsidP="00094E1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Tak – </w:t>
            </w:r>
            <w:r w:rsidR="00094E19" w:rsidRPr="008D6B7F">
              <w:rPr>
                <w:rFonts w:ascii="Century Gothic" w:hAnsi="Century Gothic"/>
                <w:sz w:val="20"/>
                <w:szCs w:val="20"/>
              </w:rPr>
              <w:t>0,5</w:t>
            </w:r>
            <w:r w:rsidRPr="008D6B7F">
              <w:rPr>
                <w:rFonts w:ascii="Century Gothic" w:hAnsi="Century Gothic"/>
                <w:sz w:val="20"/>
                <w:szCs w:val="20"/>
              </w:rPr>
              <w:t xml:space="preserve"> pkt, Nie – 0 pkt</w:t>
            </w:r>
          </w:p>
        </w:tc>
      </w:tr>
      <w:tr w:rsidR="0022268C" w:rsidRPr="008D6B7F" w14:paraId="4A63C9F3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CB0D3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871B6" w14:textId="6C1FE473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Przypomnienie o konieczności podłączenia przewodu zasilającego po jego odłączeniu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F0B8B" w14:textId="1E8C056B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A7E5A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E3F00" w14:textId="7CB89416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25F4A1F7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C3995" w14:textId="77777777" w:rsidR="0022268C" w:rsidRPr="008D6B7F" w:rsidRDefault="0022268C" w:rsidP="00B31C1B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A0643" w14:textId="380A3A92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Oferowane urządzenia muszą spełniać normę                  EN 60601-1 Klasa II, typ CF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EF8DA" w14:textId="7B75B1FA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DAC19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F9F2" w14:textId="6D39B3D6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5EEAD98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7E7F6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AADAD" w14:textId="59B507DC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Objętość zajmowana przez stacje dokującą [cm3]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56923" w14:textId="10FB6B26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52C3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6CC0B" w14:textId="781B4AA1" w:rsidR="0022268C" w:rsidRPr="008D6B7F" w:rsidRDefault="00D80FE7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1</w:t>
            </w:r>
            <w:r w:rsidR="0022268C" w:rsidRPr="008D6B7F">
              <w:rPr>
                <w:rFonts w:ascii="Century Gothic" w:hAnsi="Century Gothic"/>
                <w:sz w:val="20"/>
                <w:szCs w:val="20"/>
              </w:rPr>
              <w:t xml:space="preserve"> pkt – najmniejsza, 0 pkt pozostałe</w:t>
            </w:r>
          </w:p>
        </w:tc>
      </w:tr>
      <w:tr w:rsidR="0022268C" w:rsidRPr="008D6B7F" w14:paraId="2612F5DF" w14:textId="77777777" w:rsidTr="008D6B7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66379" w14:textId="046C09C1" w:rsidR="0022268C" w:rsidRPr="008D6B7F" w:rsidRDefault="0022268C" w:rsidP="009E4D5B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stojak na stację – 10 szt.</w:t>
            </w:r>
          </w:p>
        </w:tc>
      </w:tr>
      <w:tr w:rsidR="0022268C" w:rsidRPr="008D6B7F" w14:paraId="19743C38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894A0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ABD81" w14:textId="4E5D9898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Stojak wykonany z trwałego, tłoczonego, anodowanego lub malowanego proszkowo aluminium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4CF9D" w14:textId="4E20AE2D" w:rsidR="0022268C" w:rsidRPr="008D6B7F" w:rsidRDefault="00D80FE7" w:rsidP="00830AA7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D7408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92103" w14:textId="6DEADBC2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910444C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F8CD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39CC0" w14:textId="1185EA5A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Stojak jezdny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14824" w14:textId="1AC42597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C97779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95A76" w14:textId="65FD89A0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2654BADF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94F69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284E62" w14:textId="2F52DABE" w:rsidR="0022268C" w:rsidRPr="008D6B7F" w:rsidRDefault="0022268C" w:rsidP="004B126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solidna podstawa jezdna z nisko rozmieszczonym środkiem ciężkości, gwarancja stabilność o wadze min 20 kg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3B3E7" w14:textId="2EFDC264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9AEDD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61732" w14:textId="4A95AB65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02912391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1D175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D442E" w14:textId="77B3E9FD" w:rsidR="0022268C" w:rsidRPr="008D6B7F" w:rsidRDefault="0022268C" w:rsidP="00085ED4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średnica podstawy, min. 60 cm lub inne gwarantujące stabilność rozwiązanie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D67E9" w14:textId="1034E143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TAK,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2F43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9DA1C" w14:textId="6ADD2D96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46DABE44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E186B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B70D4" w14:textId="57B29171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wieszak do worków/butelek o regulowanej wysokości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44917" w14:textId="78828E8A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4A331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54C3E" w14:textId="422AC2E9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69875D00" w14:textId="77777777" w:rsidTr="008D6B7F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05BA" w14:textId="44B34EAB" w:rsidR="0022268C" w:rsidRPr="008D6B7F" w:rsidRDefault="0022268C" w:rsidP="00085ED4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Stojak na pompę – 5 szt.</w:t>
            </w:r>
          </w:p>
        </w:tc>
      </w:tr>
      <w:tr w:rsidR="0022268C" w:rsidRPr="008D6B7F" w14:paraId="53F5DED8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7BE31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81494" w14:textId="51B116FE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Stojak przeznaczony do mocowania pomp infuzyjnych strzykawkowych i objętościowych 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A1CC5" w14:textId="11CBDC80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BCE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7D2FB" w14:textId="549AF51E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E6EC236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2E175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008F0" w14:textId="54D6E640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Liczba kół 5 szt.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3CB4F" w14:textId="534C1797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B73AA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0EBB1" w14:textId="57BA74EF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73F7B917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7473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0929A9" w14:textId="2931DCBD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Średnica kół 70-80 mm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FEF9E" w14:textId="78EE132D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- 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85538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A1080" w14:textId="2724EA63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09E9F8FA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4A936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27D9" w14:textId="6062A15A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Koła łożyskowane z elastycznego materiału, samonastawne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71A89E" w14:textId="42D4EB36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E9336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241FA" w14:textId="4E40B194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61154EF6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014A89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95610D" w14:textId="7D505792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Liczba hamulców na kolach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93686" w14:textId="2D1C2FAF" w:rsidR="0022268C" w:rsidRPr="008D6B7F" w:rsidRDefault="008D6B7F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Tak, </w:t>
            </w:r>
            <w:r w:rsidR="0022268C" w:rsidRPr="008D6B7F">
              <w:rPr>
                <w:rFonts w:ascii="Century Gothic" w:hAnsi="Century Gothic"/>
                <w:sz w:val="20"/>
                <w:szCs w:val="20"/>
              </w:rPr>
              <w:t>min. 2 szt.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5D77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76D34" w14:textId="22E95DE6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5C3FE5F1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322F0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166D" w14:textId="055A51F3" w:rsidR="0022268C" w:rsidRPr="008D6B7F" w:rsidRDefault="0022268C" w:rsidP="004B1266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Dopuszczalne obciążenie od min. 10 kg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00C7" w14:textId="0D5DD906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C071" w14:textId="56459162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662FA" w14:textId="6DC3FFF1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3B0E354C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52638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7F9C0" w14:textId="645B6729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Duża zwrotność stabilność, cichobieżność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5188F" w14:textId="219181A3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0FAB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21EA3" w14:textId="133EB405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68015F9A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F7589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ECC2D6" w14:textId="662719B6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Wieszak z ramieniem, z maksymalnym obciążeniem 4 kg (min.4 uchwyty )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B832E" w14:textId="0512509C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443B7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6B2AD" w14:textId="678CD3D8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2C7AE638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D7F19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1A7FD" w14:textId="2AAB1CF5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Wolno opadający teleskopowy górny pręt/słup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680CF" w14:textId="7C237F9B" w:rsidR="0022268C" w:rsidRPr="008D6B7F" w:rsidRDefault="00D80FE7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84E42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EF147" w14:textId="5591FBDB" w:rsidR="0022268C" w:rsidRPr="008D6B7F" w:rsidRDefault="00FA795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– 0,5 pkt; Nie – 0 pkt.</w:t>
            </w:r>
          </w:p>
        </w:tc>
      </w:tr>
      <w:tr w:rsidR="0022268C" w:rsidRPr="008D6B7F" w14:paraId="229609AA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EB962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A9035" w14:textId="0BD64736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Rączka z trwałego tworzywa do wygodnego manewrowania stojakiem podczas przemieszczania przez pacjenta podłączonego do kroplówek tzw. uchwyt ręczny podporowy  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FB3684" w14:textId="6AAC1DB2" w:rsidR="0022268C" w:rsidRPr="008D6B7F" w:rsidRDefault="00D80FE7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67610F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36712" w14:textId="0B0979C6" w:rsidR="0022268C" w:rsidRPr="008D6B7F" w:rsidRDefault="00FA795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 – 0,5 pkt; Nie – 0 pkt.</w:t>
            </w:r>
          </w:p>
        </w:tc>
      </w:tr>
      <w:tr w:rsidR="0022268C" w:rsidRPr="008D6B7F" w14:paraId="09EF769D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765A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2525B" w14:textId="7D0763CC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Stalowa podstawa jezdna z nisko rozmieszczonym środkiem ciężkości - gwarancja stabilności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E4A0B" w14:textId="1F8C795B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B71CC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964DE" w14:textId="433A9EBD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  <w:tr w:rsidR="0022268C" w:rsidRPr="008D6B7F" w14:paraId="27E778D7" w14:textId="77777777" w:rsidTr="008D6B7F">
        <w:tc>
          <w:tcPr>
            <w:tcW w:w="2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60FF8" w14:textId="77777777" w:rsidR="0022268C" w:rsidRPr="008D6B7F" w:rsidRDefault="0022268C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7A00" w14:textId="6B184F47" w:rsidR="0022268C" w:rsidRPr="008D6B7F" w:rsidRDefault="0022268C" w:rsidP="00377A12">
            <w:pPr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Średnica stalowej podstawy od 60 cm do 80 cm</w:t>
            </w:r>
          </w:p>
        </w:tc>
        <w:tc>
          <w:tcPr>
            <w:tcW w:w="5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85B33" w14:textId="1EA651FA" w:rsidR="0022268C" w:rsidRPr="008D6B7F" w:rsidRDefault="0022268C" w:rsidP="004D58EA">
            <w:pPr>
              <w:snapToGrid w:val="0"/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15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F571E" w14:textId="77777777" w:rsidR="0022268C" w:rsidRPr="008D6B7F" w:rsidRDefault="0022268C" w:rsidP="00377A12">
            <w:pPr>
              <w:pStyle w:val="Standard"/>
              <w:snapToGrid w:val="0"/>
              <w:jc w:val="both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FE75" w14:textId="3AE88CF5" w:rsidR="0022268C" w:rsidRPr="008D6B7F" w:rsidRDefault="0022268C" w:rsidP="004D58EA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----</w:t>
            </w:r>
          </w:p>
        </w:tc>
      </w:tr>
    </w:tbl>
    <w:p w14:paraId="2F6C77F8" w14:textId="2E9828FF" w:rsidR="00873066" w:rsidRPr="00FF4BF5" w:rsidRDefault="00085ED4" w:rsidP="00085ED4">
      <w:pPr>
        <w:tabs>
          <w:tab w:val="left" w:pos="2865"/>
        </w:tabs>
        <w:spacing w:line="288" w:lineRule="auto"/>
        <w:jc w:val="both"/>
        <w:rPr>
          <w:rFonts w:ascii="Century Gothic" w:hAnsi="Century Gothic"/>
          <w:b/>
          <w:sz w:val="20"/>
          <w:szCs w:val="20"/>
        </w:rPr>
      </w:pPr>
      <w:r>
        <w:rPr>
          <w:rFonts w:ascii="Century Gothic" w:hAnsi="Century Gothic"/>
          <w:b/>
          <w:sz w:val="20"/>
          <w:szCs w:val="20"/>
        </w:rPr>
        <w:tab/>
      </w:r>
    </w:p>
    <w:p w14:paraId="6F4324B5" w14:textId="0E92F217" w:rsidR="00E65C60" w:rsidRPr="00FF4BF5" w:rsidRDefault="008D6B7F" w:rsidP="00E65C60">
      <w:pPr>
        <w:spacing w:line="288" w:lineRule="auto"/>
        <w:jc w:val="both"/>
        <w:rPr>
          <w:rFonts w:ascii="Century Gothic" w:hAnsi="Century Gothic"/>
          <w:b/>
        </w:rPr>
      </w:pPr>
      <w:r w:rsidRPr="00FF4BF5">
        <w:rPr>
          <w:rFonts w:ascii="Century Gothic" w:hAnsi="Century Gothic"/>
          <w:b/>
          <w:sz w:val="20"/>
          <w:szCs w:val="20"/>
        </w:rPr>
        <w:t>WARUNKI GWARANCJI, SERWISU I SZKOLENIA</w:t>
      </w:r>
    </w:p>
    <w:tbl>
      <w:tblPr>
        <w:tblW w:w="145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102"/>
        <w:gridCol w:w="1560"/>
        <w:gridCol w:w="4818"/>
        <w:gridCol w:w="2410"/>
      </w:tblGrid>
      <w:tr w:rsidR="00CC11F7" w:rsidRPr="008D6B7F" w14:paraId="0F9EF7BB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15C2" w14:textId="62E1F3F4" w:rsidR="00E65C60" w:rsidRPr="008D6B7F" w:rsidRDefault="008D6B7F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8D6B7F">
              <w:rPr>
                <w:rFonts w:ascii="Century Gothic" w:hAnsi="Century Gothic"/>
                <w:b/>
                <w:bCs/>
                <w:sz w:val="20"/>
                <w:szCs w:val="20"/>
              </w:rPr>
              <w:t>LP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23A3CC" w14:textId="15FBE690" w:rsidR="00E65C60" w:rsidRPr="008D6B7F" w:rsidRDefault="008D6B7F" w:rsidP="00D2374F">
            <w:pPr>
              <w:pStyle w:val="Nagwek3"/>
              <w:snapToGrid w:val="0"/>
              <w:spacing w:line="276" w:lineRule="auto"/>
              <w:ind w:left="0" w:firstLine="0"/>
              <w:jc w:val="center"/>
              <w:rPr>
                <w:rFonts w:ascii="Century Gothic" w:hAnsi="Century Gothic"/>
                <w:sz w:val="20"/>
                <w:szCs w:val="20"/>
                <w:lang w:eastAsia="en-US"/>
              </w:rPr>
            </w:pPr>
            <w:r w:rsidRPr="008D6B7F">
              <w:rPr>
                <w:rFonts w:ascii="Century Gothic" w:hAnsi="Century Gothic"/>
                <w:sz w:val="20"/>
                <w:szCs w:val="20"/>
                <w:lang w:eastAsia="en-US"/>
              </w:rPr>
              <w:t>PARAMETR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F8761" w14:textId="615FC7D5" w:rsidR="00E65C60" w:rsidRPr="008D6B7F" w:rsidRDefault="008D6B7F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8D6B7F">
              <w:rPr>
                <w:rFonts w:ascii="Century Gothic" w:hAnsi="Century Gothic"/>
                <w:b/>
                <w:bCs/>
                <w:sz w:val="20"/>
                <w:szCs w:val="20"/>
              </w:rPr>
              <w:t>PARAMETR WYMAGANY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458B" w14:textId="433EFFCF" w:rsidR="00E65C60" w:rsidRPr="008D6B7F" w:rsidRDefault="008D6B7F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8D6B7F">
              <w:rPr>
                <w:rFonts w:ascii="Century Gothic" w:hAnsi="Century Gothic"/>
                <w:b/>
                <w:bCs/>
                <w:sz w:val="20"/>
                <w:szCs w:val="20"/>
              </w:rPr>
              <w:t>PARAMETR OFEROWANY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DACE8" w14:textId="0BDA566E" w:rsidR="00E65C60" w:rsidRPr="008D6B7F" w:rsidRDefault="008D6B7F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8D6B7F">
              <w:rPr>
                <w:rFonts w:ascii="Century Gothic" w:hAnsi="Century Gothic"/>
                <w:b/>
                <w:bCs/>
                <w:sz w:val="20"/>
                <w:szCs w:val="20"/>
              </w:rPr>
              <w:t>SPOSÓB OCENY</w:t>
            </w:r>
          </w:p>
        </w:tc>
      </w:tr>
      <w:tr w:rsidR="00CC11F7" w:rsidRPr="008D6B7F" w14:paraId="7DC2BF44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2844B" w14:textId="77777777" w:rsidR="00E65C60" w:rsidRPr="008D6B7F" w:rsidRDefault="00E65C60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A1666" w14:textId="77777777" w:rsidR="00E65C60" w:rsidRPr="008D6B7F" w:rsidRDefault="00E65C60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8D6B7F">
              <w:rPr>
                <w:rFonts w:ascii="Century Gothic" w:hAnsi="Century Gothic"/>
                <w:b/>
                <w:bCs/>
                <w:sz w:val="20"/>
                <w:szCs w:val="20"/>
              </w:rPr>
              <w:t>GWARANCJE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6A2924" w14:textId="77777777" w:rsidR="00E65C60" w:rsidRPr="008D6B7F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8F4B6" w14:textId="77777777" w:rsidR="00E65C60" w:rsidRPr="008D6B7F" w:rsidRDefault="00E65C60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D184" w14:textId="77777777" w:rsidR="00E65C60" w:rsidRPr="008D6B7F" w:rsidRDefault="00E65C60" w:rsidP="00D2374F">
            <w:pPr>
              <w:pStyle w:val="AbsatzTableFormat"/>
              <w:snapToGrid w:val="0"/>
              <w:spacing w:before="100" w:beforeAutospacing="1" w:after="100" w:afterAutospacing="1" w:line="288" w:lineRule="auto"/>
              <w:rPr>
                <w:rFonts w:ascii="Century Gothic" w:hAnsi="Century Gothic"/>
                <w:sz w:val="20"/>
                <w:szCs w:val="20"/>
                <w:lang w:eastAsia="en-US"/>
              </w:rPr>
            </w:pPr>
          </w:p>
        </w:tc>
      </w:tr>
      <w:tr w:rsidR="00F715FB" w:rsidRPr="008D6B7F" w14:paraId="6F3FBB47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09FE5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DE99E" w14:textId="6C6C2DCF" w:rsidR="00F715FB" w:rsidRPr="008D6B7F" w:rsidRDefault="00F715FB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Okres pełnej, bez wyłączeń gwarancji dla wszystkich zaoferowanych elementów wraz z urządzeniami peryferyjnymi (jeśli dotyczy)[liczba miesięcy]</w:t>
            </w:r>
          </w:p>
          <w:p w14:paraId="4F581216" w14:textId="77777777" w:rsidR="00F715FB" w:rsidRPr="008D6B7F" w:rsidRDefault="00F715FB" w:rsidP="00D2374F">
            <w:pPr>
              <w:widowControl w:val="0"/>
              <w:jc w:val="both"/>
              <w:rPr>
                <w:rFonts w:ascii="Century Gothic" w:eastAsia="Calibri" w:hAnsi="Century Gothic" w:cs="Calibri"/>
                <w:i/>
                <w:iCs/>
                <w:sz w:val="20"/>
                <w:szCs w:val="20"/>
              </w:rPr>
            </w:pPr>
            <w:r w:rsidRPr="008D6B7F">
              <w:rPr>
                <w:rFonts w:ascii="Century Gothic" w:hAnsi="Century Gothic"/>
                <w:i/>
                <w:iCs/>
                <w:sz w:val="20"/>
                <w:szCs w:val="20"/>
              </w:rPr>
              <w:t xml:space="preserve">UWAGA – należy podać pełną liczbę miesięcy. Wartości ułamkowe będą przy ocenie zaokrąglane w dół – do pełnych miesięcy. Zamawiający zastrzega, że okres rękojmi musi być równy okresowi gwarancji. </w:t>
            </w:r>
            <w:r w:rsidRPr="008D6B7F">
              <w:rPr>
                <w:rFonts w:ascii="Century Gothic" w:hAnsi="Century Gothic"/>
                <w:i/>
                <w:sz w:val="20"/>
                <w:szCs w:val="20"/>
              </w:rPr>
              <w:t>Zamawiający zastrzega, że górną granicą punktacji gwarancji będzie 10 lat.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ABEF9" w14:textId="093BD93F" w:rsidR="00F715FB" w:rsidRPr="008D6B7F" w:rsidRDefault="00F715FB" w:rsidP="00476978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=&gt; 48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CF5EE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C724D" w14:textId="77777777" w:rsidR="00F715FB" w:rsidRPr="008D6B7F" w:rsidRDefault="00F715FB" w:rsidP="008D6B7F">
            <w:pPr>
              <w:snapToGrid w:val="0"/>
              <w:jc w:val="both"/>
              <w:rPr>
                <w:rFonts w:ascii="Century Gothic" w:eastAsia="Calibri" w:hAnsi="Century Gothic" w:cs="Calibri"/>
                <w:color w:val="000000" w:themeColor="text1"/>
                <w:sz w:val="20"/>
                <w:szCs w:val="20"/>
              </w:rPr>
            </w:pPr>
            <w:r w:rsidRPr="008D6B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Najdłuższy okres – 30 pkt.</w:t>
            </w:r>
          </w:p>
          <w:p w14:paraId="35F76739" w14:textId="7899D0BB" w:rsidR="00F715FB" w:rsidRPr="008D6B7F" w:rsidRDefault="00F715FB" w:rsidP="008D6B7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color w:val="000000" w:themeColor="text1"/>
                <w:sz w:val="20"/>
                <w:szCs w:val="20"/>
              </w:rPr>
              <w:t>Pozostałe proporcjonalnie mniej względem najdłuższego okresu</w:t>
            </w:r>
          </w:p>
        </w:tc>
      </w:tr>
      <w:tr w:rsidR="00F715FB" w:rsidRPr="008D6B7F" w14:paraId="6CC5E345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0728C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76A75" w14:textId="77777777" w:rsidR="00F715FB" w:rsidRPr="008D6B7F" w:rsidRDefault="00F715FB" w:rsidP="007755C4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Gwarancja dostępności części zamiennych [liczba lat] – min. 8 lat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BDF3F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05E70" w14:textId="77777777" w:rsidR="00F715FB" w:rsidRPr="008D6B7F" w:rsidRDefault="00F715F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3AD8D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715FB" w:rsidRPr="008D6B7F" w14:paraId="172344BD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CC13A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D551" w14:textId="77777777" w:rsidR="00F715FB" w:rsidRPr="008D6B7F" w:rsidRDefault="00F715FB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iCs/>
                <w:sz w:val="20"/>
                <w:szCs w:val="20"/>
              </w:rPr>
              <w:t>W przypadku, gdy w ramach gwarancji następuje wymiana sprzętu na nowy/dokonuje się istotnych napraw sprzętu/wymienia się istotne części sprzętu (podzespołu itp.) termin gwarancji biegnie na nowo. W przypadku zaś  innych napraw przedłużenie okresu gwarancji o każdy dzień w czasie którego Zamawiający nie mógł korzystać z w pełni sprawnego sprzętu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D5905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CF16E" w14:textId="77777777" w:rsidR="00F715FB" w:rsidRPr="008D6B7F" w:rsidRDefault="00F715F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6CFEB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715FB" w:rsidRPr="008D6B7F" w14:paraId="6D5AFB0F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0BC62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17DE83" w14:textId="77777777" w:rsidR="00F715FB" w:rsidRPr="008D6B7F" w:rsidRDefault="00F715FB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8D6B7F">
              <w:rPr>
                <w:rFonts w:ascii="Century Gothic" w:hAnsi="Century Gothic"/>
                <w:b/>
                <w:bCs/>
                <w:sz w:val="20"/>
                <w:szCs w:val="20"/>
              </w:rPr>
              <w:t>WARUNKI SERWISU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FF213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B69C5F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99A4FB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</w:tr>
      <w:tr w:rsidR="00F715FB" w:rsidRPr="008D6B7F" w14:paraId="754ED978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E7266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787F4" w14:textId="77777777" w:rsidR="00F715FB" w:rsidRPr="008D6B7F" w:rsidRDefault="00F715FB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Zdalna diagnostyka przez chronione łącze </w:t>
            </w:r>
            <w:r w:rsidRPr="008D6B7F">
              <w:rPr>
                <w:rFonts w:ascii="Century Gothic" w:hAnsi="Century Gothic" w:cs="Tahoma"/>
                <w:sz w:val="20"/>
                <w:szCs w:val="20"/>
              </w:rPr>
              <w:t>z możliwością rejestracji i odczytu online rejestrów błędów, oraz monitorowaniem systemu</w:t>
            </w:r>
            <w:r w:rsidRPr="008D6B7F">
              <w:rPr>
                <w:rFonts w:ascii="Century Gothic" w:hAnsi="Century Gothic"/>
                <w:sz w:val="20"/>
                <w:szCs w:val="20"/>
              </w:rPr>
              <w:t>(uwaga – całość ewentualnych prac i wyposażenia sprzętowego, które będzie służyło tej funkcjonalności po stronie wykonawcy)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74766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podać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AF0E4" w14:textId="77777777" w:rsidR="00F715FB" w:rsidRPr="008D6B7F" w:rsidRDefault="00F715F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084514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715FB" w:rsidRPr="008D6B7F" w14:paraId="23309910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9BC30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B57759" w14:textId="77777777" w:rsidR="00F715FB" w:rsidRPr="008D6B7F" w:rsidRDefault="00F715FB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W cenie oferty -  przeglądy okresowe w okresie gwarancji (w częstotliwości i w zakresie zgodnym z wymogami producenta).</w:t>
            </w:r>
          </w:p>
          <w:p w14:paraId="23B05931" w14:textId="77777777" w:rsidR="00F715FB" w:rsidRPr="008D6B7F" w:rsidRDefault="00F715FB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Obowiązkowy bezpłatny przegląd z końcem biegu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5A67B2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8E8AA" w14:textId="77777777" w:rsidR="00F715FB" w:rsidRPr="008D6B7F" w:rsidRDefault="00F715F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282CC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715FB" w:rsidRPr="008D6B7F" w14:paraId="4BB9725B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CC332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91A79" w14:textId="77777777" w:rsidR="00F715FB" w:rsidRPr="008D6B7F" w:rsidRDefault="00F715FB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Wszystkie czynności serwisowe, w tym ponowne podłączenie i uruchomienie sprzętu w miejscu wskazanym przez Zamawiającego oraz  przeglądy konserwacyjne, w okresie gwarancji - w ramach wynagrodzenia umownego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C96E78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FDB9D" w14:textId="77777777" w:rsidR="00F715FB" w:rsidRPr="008D6B7F" w:rsidRDefault="00F715F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91724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715FB" w:rsidRPr="008D6B7F" w14:paraId="3E4CAEA4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4E254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B7F1D" w14:textId="77777777" w:rsidR="00F715FB" w:rsidRPr="008D6B7F" w:rsidRDefault="00F715FB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Czas reakcji (dotyczy także reakcji zdalnej): „przyjęte zgłoszenie – podjęta naprawa” =&lt; 48 [godz.]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86A21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C51BA" w14:textId="77777777" w:rsidR="00F715FB" w:rsidRPr="008D6B7F" w:rsidRDefault="00F715F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808F7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715FB" w:rsidRPr="008D6B7F" w14:paraId="7FE5443C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4AB49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BBE3F6" w14:textId="77777777" w:rsidR="00F715FB" w:rsidRPr="008D6B7F" w:rsidRDefault="00F715FB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Możliwość zgłoszeń 24h/dobę, 365 dni/rok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54968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DE9FC" w14:textId="77777777" w:rsidR="00F715FB" w:rsidRPr="008D6B7F" w:rsidRDefault="00F715F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61BCC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715FB" w:rsidRPr="008D6B7F" w14:paraId="58ABDBD0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7BDEA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BD8743" w14:textId="77777777" w:rsidR="00F715FB" w:rsidRPr="008D6B7F" w:rsidRDefault="00F715FB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Wymiana każdego podzespołu na nowy po pierwszej  nieskutecznej próbie jego naprawy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FAD33A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6599E" w14:textId="77777777" w:rsidR="00F715FB" w:rsidRPr="008D6B7F" w:rsidRDefault="00F715F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904D8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715FB" w:rsidRPr="008D6B7F" w14:paraId="636C47CB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C9274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2B4873" w14:textId="77777777" w:rsidR="00F715FB" w:rsidRPr="008D6B7F" w:rsidRDefault="00F715FB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eastAsia="Calibri" w:hAnsi="Century Gothic"/>
                <w:sz w:val="20"/>
                <w:szCs w:val="20"/>
              </w:rPr>
              <w:t>Zakończenie działań serwisowych – do 5 dni roboczych od dnia zgłoszenia awarii, a w przypadku konieczności importu części zamiennych, nie dłuższym niż 10</w:t>
            </w:r>
            <w:r w:rsidRPr="008D6B7F">
              <w:rPr>
                <w:rFonts w:ascii="Century Gothic" w:eastAsia="Calibri" w:hAnsi="Century Gothic"/>
                <w:b/>
                <w:sz w:val="20"/>
                <w:szCs w:val="20"/>
              </w:rPr>
              <w:t xml:space="preserve"> </w:t>
            </w:r>
            <w:r w:rsidRPr="008D6B7F">
              <w:rPr>
                <w:rFonts w:ascii="Century Gothic" w:eastAsia="Calibri" w:hAnsi="Century Gothic"/>
                <w:sz w:val="20"/>
                <w:szCs w:val="20"/>
              </w:rPr>
              <w:t>dni roboczych od dnia zgłoszenia awarii.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75B97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17458" w14:textId="77777777" w:rsidR="00F715FB" w:rsidRPr="008D6B7F" w:rsidRDefault="00F715F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90833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715FB" w:rsidRPr="008D6B7F" w14:paraId="625C0847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B2A96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D8F49" w14:textId="77777777" w:rsidR="00F715FB" w:rsidRPr="008D6B7F" w:rsidRDefault="00F715FB" w:rsidP="00D2374F">
            <w:pPr>
              <w:widowControl w:val="0"/>
              <w:tabs>
                <w:tab w:val="left" w:pos="0"/>
              </w:tabs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Struktura serwisowa gwarantująca realizację wymogów stawianych w niniejszej specyfikacji lub udokumentowana/uprawdopodobniona dokumentami możliwość gwarancji realizacji wymogów stawianych w niniejszej specyfikacji – należy podać wykaz serwisów i/lub serwisantów posiadających uprawnienia do obsługi serwisowej oferowanych urządzeń (należy podać dane teleadresowe, sposób kontaktu i liczbę osób </w:t>
            </w:r>
            <w:r w:rsidRPr="008D6B7F">
              <w:rPr>
                <w:rFonts w:ascii="Century Gothic" w:hAnsi="Century Gothic"/>
                <w:sz w:val="20"/>
                <w:szCs w:val="20"/>
              </w:rPr>
              <w:lastRenderedPageBreak/>
              <w:t>serwisu własnego lub podwykonawcy posiadającego uprawnienia do tego typu działalności)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ED8B4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C74E4" w14:textId="77777777" w:rsidR="00F715FB" w:rsidRPr="008D6B7F" w:rsidRDefault="00F715F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D2047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715FB" w:rsidRPr="008D6B7F" w14:paraId="15F5A10C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B66661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2883C" w14:textId="77777777" w:rsidR="00F715FB" w:rsidRPr="008D6B7F" w:rsidRDefault="00F715FB" w:rsidP="00D2374F">
            <w:pPr>
              <w:pStyle w:val="Lista-kontynuacja24"/>
              <w:snapToGrid w:val="0"/>
              <w:spacing w:after="0" w:line="276" w:lineRule="auto"/>
              <w:ind w:left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Sprzęt/y będzie/będą pozbawione haseł, kodów, blokad serwisowych, itp., które po upływie gwarancji utrudniałyby Zamawiającemu dostęp do opcji serwisowych lub naprawę sprzętu/ów przez inny niż Wykonawca umowy podmiot, w przypadku nie korzystania przez zamawiającego z serwisu pogwarancyjnego Wykonawcy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115FB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4E9CB" w14:textId="77777777" w:rsidR="00F715FB" w:rsidRPr="008D6B7F" w:rsidRDefault="00F715F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9DFA5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715FB" w:rsidRPr="008D6B7F" w14:paraId="6F5416EF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0169D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042ED" w14:textId="77777777" w:rsidR="00F715FB" w:rsidRPr="008D6B7F" w:rsidRDefault="00F715FB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8D6B7F">
              <w:rPr>
                <w:rFonts w:ascii="Century Gothic" w:hAnsi="Century Gothic"/>
                <w:b/>
                <w:bCs/>
                <w:sz w:val="20"/>
                <w:szCs w:val="20"/>
              </w:rPr>
              <w:t>SZKOLENIA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4594A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22188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3A59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F715FB" w:rsidRPr="008D6B7F" w14:paraId="0E8913CC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0CE48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5296" w14:textId="77777777" w:rsidR="00F715FB" w:rsidRPr="008D6B7F" w:rsidRDefault="00F715FB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Szkolenia dla personelu  medycznego z zakresu obsługi urządzenia (min. 50 osób z możliwością podziału i szkolenia w mniejszych podgrupach) w momencie jego instalacji i odbioru; w razie potrzeby Zamawiającego, możliwość stałego wsparcia aplikacyjnego w początkowym (do 6 -ciu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CB0157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F0699" w14:textId="77777777" w:rsidR="00F715FB" w:rsidRPr="008D6B7F" w:rsidRDefault="00F715F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AD0AED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715FB" w:rsidRPr="008D6B7F" w14:paraId="0751EFB1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92997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4D4D57" w14:textId="77777777" w:rsidR="00F715FB" w:rsidRPr="008D6B7F" w:rsidRDefault="00F715FB" w:rsidP="00505CE7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Szkolenia dla personelu technicznego (min. 4 osoby) z zakresu podstawowej diagnostyki stanu technicznego i wykonywania podstawowych czynności konserwacyjnych, diagnostycznych i przeglądowych; w razie potrzeby możliwość stałego wsparcia aplikacyjnego w początkowym (do 6-iu miesięcy) okresie pracy urządzeń (dodatkowe szkolenie, dodatkowa grupa osób, konsultacje, itp.)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CC105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5C26B" w14:textId="77777777" w:rsidR="00F715FB" w:rsidRPr="008D6B7F" w:rsidRDefault="00F715F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06866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715FB" w:rsidRPr="008D6B7F" w14:paraId="1A812D47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51C95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84AD" w14:textId="77777777" w:rsidR="00F715FB" w:rsidRPr="008D6B7F" w:rsidRDefault="00F715FB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Liczba i okres szkoleń:</w:t>
            </w:r>
          </w:p>
          <w:p w14:paraId="241CC720" w14:textId="77777777" w:rsidR="00F715FB" w:rsidRPr="008D6B7F" w:rsidRDefault="00F715FB" w:rsidP="00D2374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pierwsze szkolenie - tuż po instalacji systemu, w wymiarze do 2 dni roboczych </w:t>
            </w:r>
          </w:p>
          <w:p w14:paraId="7F0FEE23" w14:textId="77777777" w:rsidR="00F715FB" w:rsidRPr="008D6B7F" w:rsidRDefault="00F715FB" w:rsidP="00D2374F">
            <w:pPr>
              <w:numPr>
                <w:ilvl w:val="0"/>
                <w:numId w:val="9"/>
              </w:numPr>
              <w:tabs>
                <w:tab w:val="num" w:pos="720"/>
              </w:tabs>
              <w:suppressAutoHyphens w:val="0"/>
              <w:ind w:left="0" w:firstLine="0"/>
              <w:jc w:val="both"/>
              <w:rPr>
                <w:rFonts w:ascii="Century Gothic" w:hAnsi="Century Gothic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dodatkowe, w razie potrzeby, w innym terminie ustalonym z kierownikiem pracowni,</w:t>
            </w:r>
          </w:p>
          <w:p w14:paraId="212FBAEA" w14:textId="77777777" w:rsidR="00F715FB" w:rsidRPr="008D6B7F" w:rsidRDefault="00F715FB" w:rsidP="00D2374F">
            <w:pPr>
              <w:widowControl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Uwaga – szkolenia dodatkowe dla wszystkich grup w co najmniej takiej samej liczbie osób jak podano w powyższych punktach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262C6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40F83" w14:textId="77777777" w:rsidR="00F715FB" w:rsidRPr="008D6B7F" w:rsidRDefault="00F715F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3D64D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715FB" w:rsidRPr="008D6B7F" w14:paraId="0E5F2D31" w14:textId="77777777" w:rsidTr="008D6B7F">
        <w:trPr>
          <w:trHeight w:val="396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2C672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73F276" w14:textId="77777777" w:rsidR="00F715FB" w:rsidRPr="008D6B7F" w:rsidRDefault="00F715FB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b/>
                <w:bCs/>
                <w:sz w:val="20"/>
                <w:szCs w:val="20"/>
              </w:rPr>
            </w:pPr>
            <w:r w:rsidRPr="008D6B7F">
              <w:rPr>
                <w:rFonts w:ascii="Century Gothic" w:hAnsi="Century Gothic"/>
                <w:b/>
                <w:bCs/>
                <w:sz w:val="20"/>
                <w:szCs w:val="20"/>
              </w:rPr>
              <w:t>DOKUMENTACJA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2953AF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7C50F7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b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AFF41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</w:tr>
      <w:tr w:rsidR="00F715FB" w:rsidRPr="008D6B7F" w14:paraId="27892250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57CB3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9DDF4F" w14:textId="77777777" w:rsidR="00F715FB" w:rsidRPr="008D6B7F" w:rsidRDefault="00F715FB" w:rsidP="00D2374F">
            <w:pPr>
              <w:widowControl w:val="0"/>
              <w:autoSpaceDE w:val="0"/>
              <w:snapToGrid w:val="0"/>
              <w:jc w:val="both"/>
              <w:rPr>
                <w:rFonts w:ascii="Century Gothic" w:eastAsia="Calibri" w:hAnsi="Century Gothic" w:cs="Tahoma"/>
                <w:sz w:val="20"/>
                <w:szCs w:val="20"/>
              </w:rPr>
            </w:pPr>
            <w:r w:rsidRPr="008D6B7F">
              <w:rPr>
                <w:rFonts w:ascii="Century Gothic" w:hAnsi="Century Gothic" w:cs="Tahoma"/>
                <w:sz w:val="20"/>
                <w:szCs w:val="20"/>
              </w:rPr>
              <w:t>Instrukcje obsługi w języku polskim w formie elektronicznej i drukowanej (przekazane w momencie dostawy dla każdego egzemplarza) – dotyczy także urządzeń peryferyjnych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8C8BFA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2CB16" w14:textId="77777777" w:rsidR="00F715FB" w:rsidRPr="008D6B7F" w:rsidRDefault="00F715F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5FFF5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715FB" w:rsidRPr="008D6B7F" w14:paraId="1098F433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61567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FEF0D" w14:textId="77777777" w:rsidR="00F715FB" w:rsidRPr="008D6B7F" w:rsidRDefault="00F715FB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Wykonawca w ramach dostawy sprzętu zobowiązuje się dostarczyć komplet akcesoriów, okablowania itp. asortymentu niezbędnego do uruchomienia i funkcjonowania aparatu jako całości w wymaganej specyfikacją konfiguracji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2AF60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EADB3" w14:textId="77777777" w:rsidR="00F715FB" w:rsidRPr="008D6B7F" w:rsidRDefault="00F715F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A6BDE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715FB" w:rsidRPr="008D6B7F" w14:paraId="549EC932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D061E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09293" w14:textId="77777777" w:rsidR="00F715FB" w:rsidRPr="008D6B7F" w:rsidRDefault="00F715FB" w:rsidP="00D2374F">
            <w:pPr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Dokumentacja (lub tzw. lista kontrolna zawierająca wykaz części i czynności) dotycząca przeglądów technicznych w języku polskim (dostarczona przy dostawie)</w:t>
            </w:r>
          </w:p>
          <w:p w14:paraId="6043FDE6" w14:textId="77777777" w:rsidR="00F715FB" w:rsidRPr="008D6B7F" w:rsidRDefault="00F715FB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UWAGA – dokumentacja musi zapewnić co najmniej pełną diagnostykę urządzenia, wykonywanie drobnych napraw, regulacji, kalibracji, oraz przeglądów okresowych w standardzie wymaganym przez producenta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03AFF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40555" w14:textId="77777777" w:rsidR="00F715FB" w:rsidRPr="008D6B7F" w:rsidRDefault="00F715F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D464D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715FB" w:rsidRPr="008D6B7F" w14:paraId="708C33CB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9591B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C47C3" w14:textId="77777777" w:rsidR="00F715FB" w:rsidRPr="008D6B7F" w:rsidRDefault="00F715FB" w:rsidP="00D2374F">
            <w:pPr>
              <w:widowControl w:val="0"/>
              <w:snapToGrid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 xml:space="preserve">Z urządzeniem wykonawca dostarczy paszport techniczny zawierający co najmniej takie dane jak: nazwa, typ (model), producent, rok produkcji, numer seryjny (fabryczny), inne istotne informacje </w:t>
            </w:r>
            <w:r w:rsidRPr="008D6B7F">
              <w:rPr>
                <w:rFonts w:ascii="Century Gothic" w:hAnsi="Century Gothic"/>
                <w:sz w:val="20"/>
                <w:szCs w:val="20"/>
              </w:rPr>
              <w:lastRenderedPageBreak/>
              <w:t>(itp. części składowe, istotne wyposażenie, oprogramowanie), kody z aktualnie obowiązującego słownika NFZ (o ile występują)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59CD58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lastRenderedPageBreak/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78A13" w14:textId="77777777" w:rsidR="00F715FB" w:rsidRPr="008D6B7F" w:rsidRDefault="00F715FB" w:rsidP="00D2374F">
            <w:pPr>
              <w:widowControl w:val="0"/>
              <w:spacing w:before="100" w:beforeAutospacing="1" w:after="100" w:afterAutospacing="1" w:line="288" w:lineRule="auto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8E454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715FB" w:rsidRPr="008D6B7F" w14:paraId="6E0D9A5D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BE550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88FD8F" w14:textId="77777777" w:rsidR="00F715FB" w:rsidRPr="008D6B7F" w:rsidRDefault="00F715FB" w:rsidP="00D2374F">
            <w:pPr>
              <w:widowControl w:val="0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Instrukcja konserwacji, mycia, dezynfekcji i sterylizacji dla zaoferowanych elementów wraz z urządzeniami peryferyjnymi (jeśli dotyczy), dostarczona przy dostawie i wskazująca, że czynności te prawidłowo wykonane nie powodują utraty gwarancji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44C6F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3755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489F22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  <w:tr w:rsidR="00F715FB" w:rsidRPr="008D6B7F" w14:paraId="158E56F5" w14:textId="77777777" w:rsidTr="008D6B7F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7D8C6" w14:textId="77777777" w:rsidR="00F715FB" w:rsidRPr="008D6B7F" w:rsidRDefault="00F715FB" w:rsidP="0022268C">
            <w:pPr>
              <w:pStyle w:val="Akapitzlist"/>
              <w:numPr>
                <w:ilvl w:val="0"/>
                <w:numId w:val="12"/>
              </w:numPr>
              <w:suppressAutoHyphens w:val="0"/>
              <w:spacing w:before="100" w:beforeAutospacing="1" w:after="100" w:afterAutospacing="1" w:line="288" w:lineRule="auto"/>
              <w:jc w:val="center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73E87D" w14:textId="77777777" w:rsidR="00F715FB" w:rsidRPr="008D6B7F" w:rsidRDefault="00F715FB" w:rsidP="00D2374F">
            <w:pPr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Możliwość mycia i dezynfekcji poszczególnych elementów aparatów w oparciu o przedstawione przez wykonawcę zalecane preparaty myjące i dezynfekujące.</w:t>
            </w:r>
          </w:p>
          <w:p w14:paraId="38AAE4F8" w14:textId="77777777" w:rsidR="00F715FB" w:rsidRPr="008D6B7F" w:rsidRDefault="00F715FB" w:rsidP="00D2374F">
            <w:pPr>
              <w:widowControl w:val="0"/>
              <w:jc w:val="both"/>
              <w:rPr>
                <w:rFonts w:ascii="Century Gothic" w:eastAsia="Calibri" w:hAnsi="Century Gothic" w:cs="Calibri"/>
                <w:i/>
                <w:sz w:val="20"/>
                <w:szCs w:val="20"/>
              </w:rPr>
            </w:pPr>
            <w:r w:rsidRPr="008D6B7F">
              <w:rPr>
                <w:rFonts w:ascii="Century Gothic" w:hAnsi="Century Gothic"/>
                <w:i/>
                <w:sz w:val="20"/>
                <w:szCs w:val="20"/>
              </w:rPr>
              <w:t>UWAGA – zalecane środki powinny zawierać nazwy związków chemicznych, a nie tylko nazwy handlowe preparatów.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EC49B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Tak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91EDD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both"/>
              <w:rPr>
                <w:rFonts w:ascii="Century Gothic" w:eastAsia="Calibri" w:hAnsi="Century Gothic" w:cs="Calibri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1D2BD" w14:textId="77777777" w:rsidR="00F715FB" w:rsidRPr="008D6B7F" w:rsidRDefault="00F715FB" w:rsidP="00D2374F">
            <w:pPr>
              <w:widowControl w:val="0"/>
              <w:snapToGrid w:val="0"/>
              <w:spacing w:before="100" w:beforeAutospacing="1" w:after="100" w:afterAutospacing="1" w:line="288" w:lineRule="auto"/>
              <w:jc w:val="center"/>
              <w:rPr>
                <w:rFonts w:ascii="Century Gothic" w:eastAsia="Calibri" w:hAnsi="Century Gothic" w:cs="Calibri"/>
                <w:sz w:val="20"/>
                <w:szCs w:val="20"/>
              </w:rPr>
            </w:pPr>
            <w:r w:rsidRPr="008D6B7F">
              <w:rPr>
                <w:rFonts w:ascii="Century Gothic" w:hAnsi="Century Gothic"/>
                <w:sz w:val="20"/>
                <w:szCs w:val="20"/>
              </w:rPr>
              <w:t>- - -</w:t>
            </w:r>
          </w:p>
        </w:tc>
      </w:tr>
    </w:tbl>
    <w:p w14:paraId="00BF99D4" w14:textId="77777777" w:rsidR="004A2FFA" w:rsidRPr="00FF4BF5" w:rsidRDefault="004A2FFA" w:rsidP="00E65C60">
      <w:pPr>
        <w:spacing w:before="100" w:beforeAutospacing="1" w:after="100" w:afterAutospacing="1" w:line="288" w:lineRule="auto"/>
        <w:rPr>
          <w:rFonts w:ascii="Century Gothic" w:hAnsi="Century Gothic"/>
          <w:b/>
        </w:rPr>
      </w:pPr>
      <w:bookmarkStart w:id="0" w:name="_GoBack"/>
      <w:bookmarkEnd w:id="0"/>
    </w:p>
    <w:sectPr w:rsidR="004A2FFA" w:rsidRPr="00FF4BF5" w:rsidSect="005979A3">
      <w:headerReference w:type="default" r:id="rId8"/>
      <w:footerReference w:type="default" r:id="rId9"/>
      <w:pgSz w:w="16838" w:h="11906" w:orient="landscape"/>
      <w:pgMar w:top="1417" w:right="1417" w:bottom="1417" w:left="1417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5064804" w14:textId="77777777" w:rsidR="0015568C" w:rsidRDefault="0015568C" w:rsidP="0097030B">
      <w:r>
        <w:separator/>
      </w:r>
    </w:p>
  </w:endnote>
  <w:endnote w:type="continuationSeparator" w:id="0">
    <w:p w14:paraId="6A854507" w14:textId="77777777" w:rsidR="0015568C" w:rsidRDefault="0015568C" w:rsidP="009703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00"/>
    <w:family w:val="auto"/>
    <w:pitch w:val="variable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51988466"/>
      <w:docPartObj>
        <w:docPartGallery w:val="Page Numbers (Bottom of Page)"/>
        <w:docPartUnique/>
      </w:docPartObj>
    </w:sdtPr>
    <w:sdtContent>
      <w:p w14:paraId="5F9CE56A" w14:textId="606BDDD2" w:rsidR="008D6B7F" w:rsidRDefault="008D6B7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0F8D">
          <w:rPr>
            <w:noProof/>
          </w:rPr>
          <w:t>27</w:t>
        </w:r>
        <w:r>
          <w:fldChar w:fldCharType="end"/>
        </w:r>
      </w:p>
    </w:sdtContent>
  </w:sdt>
  <w:p w14:paraId="2119F810" w14:textId="77777777" w:rsidR="008D6B7F" w:rsidRDefault="008D6B7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8FE402E" w14:textId="77777777" w:rsidR="0015568C" w:rsidRDefault="0015568C" w:rsidP="0097030B">
      <w:r>
        <w:separator/>
      </w:r>
    </w:p>
  </w:footnote>
  <w:footnote w:type="continuationSeparator" w:id="0">
    <w:p w14:paraId="5B91E633" w14:textId="77777777" w:rsidR="0015568C" w:rsidRDefault="0015568C" w:rsidP="0097030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055121" w14:textId="77777777" w:rsidR="008D6B7F" w:rsidRPr="005979A3" w:rsidRDefault="008D6B7F" w:rsidP="005979A3">
    <w:pPr>
      <w:tabs>
        <w:tab w:val="center" w:pos="4536"/>
        <w:tab w:val="right" w:pos="9072"/>
      </w:tabs>
      <w:jc w:val="center"/>
    </w:pPr>
    <w:r w:rsidRPr="005979A3">
      <w:rPr>
        <w:noProof/>
        <w:lang w:eastAsia="pl-PL"/>
      </w:rPr>
      <w:drawing>
        <wp:inline distT="0" distB="0" distL="0" distR="0" wp14:anchorId="11000DD2" wp14:editId="4A1EE537">
          <wp:extent cx="7578137" cy="864000"/>
          <wp:effectExtent l="0" t="0" r="381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RR_mono-72dpi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137" cy="864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73066CAD" w14:textId="1386C3E6" w:rsidR="008D6B7F" w:rsidRPr="005979A3" w:rsidRDefault="008D6B7F" w:rsidP="005979A3">
    <w:pPr>
      <w:tabs>
        <w:tab w:val="center" w:pos="4536"/>
        <w:tab w:val="right" w:pos="14040"/>
      </w:tabs>
      <w:suppressAutoHyphens w:val="0"/>
      <w:rPr>
        <w:kern w:val="0"/>
        <w:sz w:val="20"/>
        <w:szCs w:val="20"/>
        <w:lang w:eastAsia="pl-PL"/>
      </w:rPr>
    </w:pPr>
    <w:r>
      <w:rPr>
        <w:color w:val="000000"/>
        <w:kern w:val="3"/>
        <w:sz w:val="20"/>
        <w:szCs w:val="20"/>
        <w:lang w:eastAsia="pl-PL" w:bidi="hi-IN"/>
      </w:rPr>
      <w:t>NSSU.DFP.271.20.</w:t>
    </w:r>
    <w:r w:rsidRPr="005979A3">
      <w:rPr>
        <w:color w:val="000000"/>
        <w:kern w:val="3"/>
        <w:sz w:val="20"/>
        <w:szCs w:val="20"/>
        <w:lang w:eastAsia="pl-PL" w:bidi="hi-IN"/>
      </w:rPr>
      <w:t>2018.LS</w:t>
    </w:r>
    <w:r w:rsidRPr="005979A3">
      <w:rPr>
        <w:kern w:val="0"/>
        <w:sz w:val="20"/>
        <w:szCs w:val="20"/>
        <w:lang w:eastAsia="pl-PL"/>
      </w:rPr>
      <w:tab/>
    </w:r>
    <w:r w:rsidRPr="005979A3">
      <w:rPr>
        <w:kern w:val="0"/>
        <w:sz w:val="20"/>
        <w:szCs w:val="20"/>
        <w:lang w:eastAsia="pl-PL"/>
      </w:rPr>
      <w:tab/>
      <w:t>Załącznik nr 1a do specyfikacji</w:t>
    </w:r>
  </w:p>
  <w:p w14:paraId="58841545" w14:textId="77777777" w:rsidR="008D6B7F" w:rsidRPr="005979A3" w:rsidRDefault="008D6B7F" w:rsidP="005979A3">
    <w:pPr>
      <w:tabs>
        <w:tab w:val="center" w:pos="4536"/>
        <w:tab w:val="right" w:pos="14040"/>
      </w:tabs>
      <w:suppressAutoHyphens w:val="0"/>
      <w:jc w:val="right"/>
      <w:rPr>
        <w:kern w:val="0"/>
        <w:sz w:val="20"/>
        <w:szCs w:val="20"/>
        <w:lang w:eastAsia="pl-PL"/>
      </w:rPr>
    </w:pPr>
    <w:r w:rsidRPr="005979A3">
      <w:rPr>
        <w:kern w:val="0"/>
        <w:sz w:val="20"/>
        <w:szCs w:val="20"/>
        <w:lang w:eastAsia="pl-PL"/>
      </w:rPr>
      <w:t>Załącznik nr …… do umowy</w:t>
    </w:r>
  </w:p>
  <w:p w14:paraId="7937BCDB" w14:textId="2909E790" w:rsidR="008D6B7F" w:rsidRDefault="008D6B7F" w:rsidP="005979A3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</w:abstractNum>
  <w:abstractNum w:abstractNumId="3">
    <w:nsid w:val="00000004"/>
    <w:multiLevelType w:val="singleLevel"/>
    <w:tmpl w:val="9E02435C"/>
    <w:name w:val="WW8Num4"/>
    <w:lvl w:ilvl="0">
      <w:start w:val="1"/>
      <w:numFmt w:val="decimal"/>
      <w:lvlText w:val="%1."/>
      <w:lvlJc w:val="center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bCs w:val="0"/>
      </w:rPr>
    </w:lvl>
  </w:abstractNum>
  <w:abstractNum w:abstractNumId="4">
    <w:nsid w:val="0C013FCF"/>
    <w:multiLevelType w:val="hybridMultilevel"/>
    <w:tmpl w:val="C9705A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BC2A49"/>
    <w:multiLevelType w:val="hybridMultilevel"/>
    <w:tmpl w:val="FB7AFF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C0AFE"/>
    <w:multiLevelType w:val="hybridMultilevel"/>
    <w:tmpl w:val="25CC66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C2D25C4"/>
    <w:multiLevelType w:val="hybridMultilevel"/>
    <w:tmpl w:val="FE4C31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962729"/>
    <w:multiLevelType w:val="hybridMultilevel"/>
    <w:tmpl w:val="BC965858"/>
    <w:lvl w:ilvl="0" w:tplc="BEE61A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3"/>
    <w:lvlOverride w:ilvl="0">
      <w:startOverride w:val="1"/>
    </w:lvlOverride>
  </w:num>
  <w:num w:numId="4">
    <w:abstractNumId w:val="8"/>
  </w:num>
  <w:num w:numId="5">
    <w:abstractNumId w:val="8"/>
  </w:num>
  <w:num w:numId="6">
    <w:abstractNumId w:val="7"/>
  </w:num>
  <w:num w:numId="7">
    <w:abstractNumId w:val="0"/>
  </w:num>
  <w:num w:numId="8">
    <w:abstractNumId w:val="4"/>
  </w:num>
  <w:num w:numId="9">
    <w:abstractNumId w:val="2"/>
  </w:num>
  <w:num w:numId="10">
    <w:abstractNumId w:val="4"/>
  </w:num>
  <w:num w:numId="11">
    <w:abstractNumId w:val="5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6A22"/>
    <w:rsid w:val="0000023D"/>
    <w:rsid w:val="00030EF3"/>
    <w:rsid w:val="000378F8"/>
    <w:rsid w:val="00037FF4"/>
    <w:rsid w:val="00040922"/>
    <w:rsid w:val="00040977"/>
    <w:rsid w:val="00045620"/>
    <w:rsid w:val="0005212C"/>
    <w:rsid w:val="00085ED4"/>
    <w:rsid w:val="00094E19"/>
    <w:rsid w:val="000A0E0F"/>
    <w:rsid w:val="000A197A"/>
    <w:rsid w:val="000A6ED8"/>
    <w:rsid w:val="000C0DAF"/>
    <w:rsid w:val="000F3AE9"/>
    <w:rsid w:val="001031F1"/>
    <w:rsid w:val="001169A4"/>
    <w:rsid w:val="00124838"/>
    <w:rsid w:val="00127DF5"/>
    <w:rsid w:val="00133119"/>
    <w:rsid w:val="001411EA"/>
    <w:rsid w:val="00146AF9"/>
    <w:rsid w:val="0015568C"/>
    <w:rsid w:val="001B0A09"/>
    <w:rsid w:val="001B1988"/>
    <w:rsid w:val="001B3567"/>
    <w:rsid w:val="001B67B6"/>
    <w:rsid w:val="001C2FB5"/>
    <w:rsid w:val="001C4FAB"/>
    <w:rsid w:val="001C6B00"/>
    <w:rsid w:val="001D755E"/>
    <w:rsid w:val="00202ED0"/>
    <w:rsid w:val="0020452A"/>
    <w:rsid w:val="002048DD"/>
    <w:rsid w:val="00207897"/>
    <w:rsid w:val="0022268C"/>
    <w:rsid w:val="00226CE3"/>
    <w:rsid w:val="00232F25"/>
    <w:rsid w:val="00241340"/>
    <w:rsid w:val="00260F8D"/>
    <w:rsid w:val="00266652"/>
    <w:rsid w:val="00275183"/>
    <w:rsid w:val="00283C24"/>
    <w:rsid w:val="00285673"/>
    <w:rsid w:val="002B3EFE"/>
    <w:rsid w:val="002B67B9"/>
    <w:rsid w:val="002D0A4E"/>
    <w:rsid w:val="002F4F6A"/>
    <w:rsid w:val="0030195E"/>
    <w:rsid w:val="00301AC3"/>
    <w:rsid w:val="00310E48"/>
    <w:rsid w:val="00344A58"/>
    <w:rsid w:val="00362CE9"/>
    <w:rsid w:val="003645E3"/>
    <w:rsid w:val="003721A4"/>
    <w:rsid w:val="00377A12"/>
    <w:rsid w:val="00380106"/>
    <w:rsid w:val="00380D87"/>
    <w:rsid w:val="00381162"/>
    <w:rsid w:val="0038176D"/>
    <w:rsid w:val="00386BDE"/>
    <w:rsid w:val="0039239F"/>
    <w:rsid w:val="003943D9"/>
    <w:rsid w:val="00394675"/>
    <w:rsid w:val="003A083D"/>
    <w:rsid w:val="003A2204"/>
    <w:rsid w:val="003B07FE"/>
    <w:rsid w:val="003B7CAB"/>
    <w:rsid w:val="003C0B24"/>
    <w:rsid w:val="003C1631"/>
    <w:rsid w:val="003E0512"/>
    <w:rsid w:val="003E093D"/>
    <w:rsid w:val="003E7B4E"/>
    <w:rsid w:val="003F0F4A"/>
    <w:rsid w:val="003F5A1C"/>
    <w:rsid w:val="00416A3A"/>
    <w:rsid w:val="00422218"/>
    <w:rsid w:val="004373C4"/>
    <w:rsid w:val="004439EF"/>
    <w:rsid w:val="004524E3"/>
    <w:rsid w:val="0046438B"/>
    <w:rsid w:val="00464820"/>
    <w:rsid w:val="00474121"/>
    <w:rsid w:val="00476978"/>
    <w:rsid w:val="004820FE"/>
    <w:rsid w:val="00491EDA"/>
    <w:rsid w:val="004A2FFA"/>
    <w:rsid w:val="004A45D9"/>
    <w:rsid w:val="004B1266"/>
    <w:rsid w:val="004C7660"/>
    <w:rsid w:val="004D0709"/>
    <w:rsid w:val="004D58EA"/>
    <w:rsid w:val="00505CE7"/>
    <w:rsid w:val="00510F05"/>
    <w:rsid w:val="005214C2"/>
    <w:rsid w:val="00532FA0"/>
    <w:rsid w:val="00533357"/>
    <w:rsid w:val="00533A2C"/>
    <w:rsid w:val="00537877"/>
    <w:rsid w:val="005614F6"/>
    <w:rsid w:val="00576431"/>
    <w:rsid w:val="00577317"/>
    <w:rsid w:val="00580D28"/>
    <w:rsid w:val="00590294"/>
    <w:rsid w:val="00593F9D"/>
    <w:rsid w:val="00595DAB"/>
    <w:rsid w:val="005979A3"/>
    <w:rsid w:val="005D0E4C"/>
    <w:rsid w:val="005D7B6A"/>
    <w:rsid w:val="005F260D"/>
    <w:rsid w:val="005F4AAA"/>
    <w:rsid w:val="00606932"/>
    <w:rsid w:val="00610F55"/>
    <w:rsid w:val="006179D6"/>
    <w:rsid w:val="00621544"/>
    <w:rsid w:val="00666C11"/>
    <w:rsid w:val="00670647"/>
    <w:rsid w:val="00695F17"/>
    <w:rsid w:val="00696B00"/>
    <w:rsid w:val="00696EF8"/>
    <w:rsid w:val="006A1D8A"/>
    <w:rsid w:val="006B44AC"/>
    <w:rsid w:val="006B5752"/>
    <w:rsid w:val="006B6476"/>
    <w:rsid w:val="006B728A"/>
    <w:rsid w:val="006B7FBB"/>
    <w:rsid w:val="006F4220"/>
    <w:rsid w:val="006F6219"/>
    <w:rsid w:val="007121E4"/>
    <w:rsid w:val="007138FD"/>
    <w:rsid w:val="007158B2"/>
    <w:rsid w:val="007451B5"/>
    <w:rsid w:val="007755C4"/>
    <w:rsid w:val="007A204E"/>
    <w:rsid w:val="007A7B42"/>
    <w:rsid w:val="007B740F"/>
    <w:rsid w:val="007C5A8E"/>
    <w:rsid w:val="007D4F6C"/>
    <w:rsid w:val="007F65D2"/>
    <w:rsid w:val="008227D9"/>
    <w:rsid w:val="00830AA7"/>
    <w:rsid w:val="00834345"/>
    <w:rsid w:val="008457DA"/>
    <w:rsid w:val="00846A22"/>
    <w:rsid w:val="00851E6C"/>
    <w:rsid w:val="008530C5"/>
    <w:rsid w:val="00860362"/>
    <w:rsid w:val="00860E72"/>
    <w:rsid w:val="00860ED3"/>
    <w:rsid w:val="00873066"/>
    <w:rsid w:val="008929C3"/>
    <w:rsid w:val="00892EA0"/>
    <w:rsid w:val="008A6DA9"/>
    <w:rsid w:val="008A726B"/>
    <w:rsid w:val="008D6B7F"/>
    <w:rsid w:val="008F1407"/>
    <w:rsid w:val="008F38A4"/>
    <w:rsid w:val="00900405"/>
    <w:rsid w:val="00904FE6"/>
    <w:rsid w:val="0092338C"/>
    <w:rsid w:val="00923CA1"/>
    <w:rsid w:val="00934FB9"/>
    <w:rsid w:val="00941F3C"/>
    <w:rsid w:val="00963290"/>
    <w:rsid w:val="0097030B"/>
    <w:rsid w:val="00981C7D"/>
    <w:rsid w:val="009A661A"/>
    <w:rsid w:val="009B7A82"/>
    <w:rsid w:val="009D23EF"/>
    <w:rsid w:val="009E4D5B"/>
    <w:rsid w:val="009F648D"/>
    <w:rsid w:val="00A325FD"/>
    <w:rsid w:val="00A663DD"/>
    <w:rsid w:val="00A72FB7"/>
    <w:rsid w:val="00AB60A5"/>
    <w:rsid w:val="00AB6F0C"/>
    <w:rsid w:val="00AC6AEF"/>
    <w:rsid w:val="00AD2031"/>
    <w:rsid w:val="00AE7A1F"/>
    <w:rsid w:val="00AF1DE6"/>
    <w:rsid w:val="00AF352F"/>
    <w:rsid w:val="00B05097"/>
    <w:rsid w:val="00B16C13"/>
    <w:rsid w:val="00B31C1B"/>
    <w:rsid w:val="00B369C1"/>
    <w:rsid w:val="00B3713E"/>
    <w:rsid w:val="00B37A22"/>
    <w:rsid w:val="00B515B2"/>
    <w:rsid w:val="00B665B6"/>
    <w:rsid w:val="00B768CE"/>
    <w:rsid w:val="00B92903"/>
    <w:rsid w:val="00BA7BEF"/>
    <w:rsid w:val="00BB7367"/>
    <w:rsid w:val="00C00695"/>
    <w:rsid w:val="00C025D5"/>
    <w:rsid w:val="00C06A7C"/>
    <w:rsid w:val="00C1088B"/>
    <w:rsid w:val="00C22176"/>
    <w:rsid w:val="00C33938"/>
    <w:rsid w:val="00C34E1D"/>
    <w:rsid w:val="00C6742D"/>
    <w:rsid w:val="00C834CD"/>
    <w:rsid w:val="00C863DF"/>
    <w:rsid w:val="00C96056"/>
    <w:rsid w:val="00C971C1"/>
    <w:rsid w:val="00CA1FC4"/>
    <w:rsid w:val="00CB4793"/>
    <w:rsid w:val="00CC11F7"/>
    <w:rsid w:val="00CD102A"/>
    <w:rsid w:val="00CD232C"/>
    <w:rsid w:val="00CD5765"/>
    <w:rsid w:val="00CE1A44"/>
    <w:rsid w:val="00CE1CFF"/>
    <w:rsid w:val="00CE51EE"/>
    <w:rsid w:val="00CF754C"/>
    <w:rsid w:val="00D143DF"/>
    <w:rsid w:val="00D2374F"/>
    <w:rsid w:val="00D2635F"/>
    <w:rsid w:val="00D26434"/>
    <w:rsid w:val="00D744F8"/>
    <w:rsid w:val="00D7465C"/>
    <w:rsid w:val="00D80FE7"/>
    <w:rsid w:val="00D828DF"/>
    <w:rsid w:val="00DB0AB8"/>
    <w:rsid w:val="00DD3BBC"/>
    <w:rsid w:val="00DD400C"/>
    <w:rsid w:val="00DE1AD8"/>
    <w:rsid w:val="00E03002"/>
    <w:rsid w:val="00E1453A"/>
    <w:rsid w:val="00E1660F"/>
    <w:rsid w:val="00E41231"/>
    <w:rsid w:val="00E5047F"/>
    <w:rsid w:val="00E519C9"/>
    <w:rsid w:val="00E55F59"/>
    <w:rsid w:val="00E56709"/>
    <w:rsid w:val="00E57BE9"/>
    <w:rsid w:val="00E63DB3"/>
    <w:rsid w:val="00E65C60"/>
    <w:rsid w:val="00E72F95"/>
    <w:rsid w:val="00EA0873"/>
    <w:rsid w:val="00EA7A6E"/>
    <w:rsid w:val="00EC1813"/>
    <w:rsid w:val="00ED6689"/>
    <w:rsid w:val="00EE396D"/>
    <w:rsid w:val="00F04BFD"/>
    <w:rsid w:val="00F1011A"/>
    <w:rsid w:val="00F5426F"/>
    <w:rsid w:val="00F601DD"/>
    <w:rsid w:val="00F6347E"/>
    <w:rsid w:val="00F715FB"/>
    <w:rsid w:val="00F729E3"/>
    <w:rsid w:val="00F87151"/>
    <w:rsid w:val="00F92115"/>
    <w:rsid w:val="00FA4D28"/>
    <w:rsid w:val="00FA5405"/>
    <w:rsid w:val="00FA5B5B"/>
    <w:rsid w:val="00FA795C"/>
    <w:rsid w:val="00FB13B2"/>
    <w:rsid w:val="00FB162D"/>
    <w:rsid w:val="00FC0951"/>
    <w:rsid w:val="00FC3BD9"/>
    <w:rsid w:val="00FC4F7B"/>
    <w:rsid w:val="00FE51A0"/>
    <w:rsid w:val="00FE7723"/>
    <w:rsid w:val="00FF4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07DC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5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51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512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Domylnie">
    <w:name w:val="Domy?lnie"/>
    <w:rsid w:val="008457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Domynie">
    <w:name w:val="Domy徑nie"/>
    <w:rsid w:val="00D744F8"/>
    <w:pPr>
      <w:autoSpaceDE w:val="0"/>
      <w:autoSpaceDN w:val="0"/>
      <w:adjustRightInd w:val="0"/>
    </w:pPr>
    <w:rPr>
      <w:rFonts w:ascii="Calibri" w:eastAsia="Times New Roman" w:hAnsi="Lucida Sans Unicode" w:cs="Calibri"/>
      <w:kern w:val="1"/>
      <w:lang w:val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7030B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4A2FFA"/>
    <w:pPr>
      <w:keepNext/>
      <w:widowControl w:val="0"/>
      <w:shd w:val="clear" w:color="auto" w:fill="FFFFFF"/>
      <w:tabs>
        <w:tab w:val="num" w:pos="0"/>
      </w:tabs>
      <w:ind w:left="5"/>
      <w:outlineLvl w:val="0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4A2FFA"/>
    <w:pPr>
      <w:keepNext/>
      <w:widowControl w:val="0"/>
      <w:shd w:val="clear" w:color="auto" w:fill="FFFFFF"/>
      <w:tabs>
        <w:tab w:val="num" w:pos="0"/>
      </w:tabs>
      <w:ind w:left="10"/>
      <w:outlineLvl w:val="1"/>
    </w:pPr>
    <w:rPr>
      <w:rFonts w:eastAsia="Andale Sans UI"/>
      <w:b/>
      <w:bCs/>
      <w:kern w:val="1"/>
      <w:sz w:val="14"/>
      <w:szCs w:val="14"/>
      <w:lang w:eastAsia="pl-PL"/>
    </w:rPr>
  </w:style>
  <w:style w:type="paragraph" w:styleId="Nagwek3">
    <w:name w:val="heading 3"/>
    <w:basedOn w:val="Normalny"/>
    <w:next w:val="Normalny"/>
    <w:link w:val="Nagwek3Znak"/>
    <w:unhideWhenUsed/>
    <w:qFormat/>
    <w:rsid w:val="0097030B"/>
    <w:pPr>
      <w:keepNext/>
      <w:numPr>
        <w:ilvl w:val="2"/>
        <w:numId w:val="1"/>
      </w:numPr>
      <w:outlineLvl w:val="2"/>
    </w:pPr>
    <w:rPr>
      <w:rFonts w:ascii="Comic Sans MS" w:hAnsi="Comic Sans MS"/>
      <w:b/>
      <w:bCs/>
      <w:sz w:val="18"/>
      <w:szCs w:val="22"/>
    </w:rPr>
  </w:style>
  <w:style w:type="paragraph" w:styleId="Nagwek4">
    <w:name w:val="heading 4"/>
    <w:basedOn w:val="Normalny"/>
    <w:next w:val="Normalny"/>
    <w:link w:val="Nagwek4Znak"/>
    <w:qFormat/>
    <w:rsid w:val="004A2FFA"/>
    <w:pPr>
      <w:keepNext/>
      <w:widowControl w:val="0"/>
      <w:tabs>
        <w:tab w:val="num" w:pos="0"/>
      </w:tabs>
      <w:ind w:left="864" w:hanging="864"/>
      <w:jc w:val="center"/>
      <w:outlineLvl w:val="3"/>
    </w:pPr>
    <w:rPr>
      <w:rFonts w:eastAsia="Arial Unicode MS"/>
      <w:b/>
      <w:kern w:val="1"/>
      <w:sz w:val="28"/>
      <w:lang w:eastAsia="pl-PL"/>
    </w:rPr>
  </w:style>
  <w:style w:type="paragraph" w:styleId="Nagwek5">
    <w:name w:val="heading 5"/>
    <w:basedOn w:val="Normalny"/>
    <w:next w:val="Normalny"/>
    <w:link w:val="Nagwek5Znak"/>
    <w:qFormat/>
    <w:rsid w:val="004A2FFA"/>
    <w:pPr>
      <w:keepNext/>
      <w:widowControl w:val="0"/>
      <w:shd w:val="clear" w:color="auto" w:fill="FFFFFF"/>
      <w:tabs>
        <w:tab w:val="num" w:pos="0"/>
      </w:tabs>
      <w:ind w:right="140"/>
      <w:outlineLvl w:val="4"/>
    </w:pPr>
    <w:rPr>
      <w:rFonts w:eastAsia="Andale Sans UI" w:cs="Arial"/>
      <w:b/>
      <w:bCs/>
      <w:kern w:val="1"/>
      <w:sz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4A2FFA"/>
    <w:rPr>
      <w:rFonts w:ascii="Times New Roman" w:eastAsia="Andale Sans UI" w:hAnsi="Times New Roman" w:cs="Times New Roman"/>
      <w:b/>
      <w:bCs/>
      <w:kern w:val="1"/>
      <w:sz w:val="14"/>
      <w:szCs w:val="14"/>
      <w:shd w:val="clear" w:color="auto" w:fill="FFFFFF"/>
      <w:lang w:eastAsia="pl-PL"/>
    </w:rPr>
  </w:style>
  <w:style w:type="character" w:customStyle="1" w:styleId="Nagwek3Znak">
    <w:name w:val="Nagłówek 3 Znak"/>
    <w:basedOn w:val="Domylnaczcionkaakapitu"/>
    <w:link w:val="Nagwek3"/>
    <w:rsid w:val="0097030B"/>
    <w:rPr>
      <w:rFonts w:ascii="Comic Sans MS" w:eastAsia="Times New Roman" w:hAnsi="Comic Sans MS" w:cs="Times New Roman"/>
      <w:b/>
      <w:bCs/>
      <w:kern w:val="2"/>
      <w:sz w:val="18"/>
      <w:lang w:eastAsia="ar-SA"/>
    </w:rPr>
  </w:style>
  <w:style w:type="character" w:customStyle="1" w:styleId="Nagwek4Znak">
    <w:name w:val="Nagłówek 4 Znak"/>
    <w:basedOn w:val="Domylnaczcionkaakapitu"/>
    <w:link w:val="Nagwek4"/>
    <w:rsid w:val="004A2FFA"/>
    <w:rPr>
      <w:rFonts w:ascii="Times New Roman" w:eastAsia="Arial Unicode MS" w:hAnsi="Times New Roman" w:cs="Times New Roman"/>
      <w:b/>
      <w:kern w:val="1"/>
      <w:sz w:val="28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4A2FFA"/>
    <w:rPr>
      <w:rFonts w:ascii="Times New Roman" w:eastAsia="Andale Sans UI" w:hAnsi="Times New Roman" w:cs="Arial"/>
      <w:b/>
      <w:bCs/>
      <w:kern w:val="1"/>
      <w:sz w:val="20"/>
      <w:szCs w:val="24"/>
      <w:shd w:val="clear" w:color="auto" w:fill="FFFFFF"/>
      <w:lang w:eastAsia="pl-PL"/>
    </w:rPr>
  </w:style>
  <w:style w:type="paragraph" w:customStyle="1" w:styleId="Skrconyadreszwrotny">
    <w:name w:val="Skrócony adres zwrotny"/>
    <w:basedOn w:val="Normalny"/>
    <w:rsid w:val="0097030B"/>
    <w:rPr>
      <w:szCs w:val="20"/>
    </w:rPr>
  </w:style>
  <w:style w:type="paragraph" w:customStyle="1" w:styleId="Lista-kontynuacja21">
    <w:name w:val="Lista - kontynuacja 21"/>
    <w:basedOn w:val="Normalny"/>
    <w:rsid w:val="0097030B"/>
    <w:pPr>
      <w:spacing w:after="160"/>
      <w:ind w:left="1080" w:hanging="360"/>
    </w:pPr>
    <w:rPr>
      <w:sz w:val="20"/>
      <w:szCs w:val="20"/>
    </w:rPr>
  </w:style>
  <w:style w:type="paragraph" w:customStyle="1" w:styleId="MD-IOtekstzwyky1">
    <w:name w:val="MD-IO tekst zwykły 1"/>
    <w:basedOn w:val="Normalny"/>
    <w:rsid w:val="0097030B"/>
    <w:pPr>
      <w:tabs>
        <w:tab w:val="left" w:pos="709"/>
      </w:tabs>
      <w:suppressAutoHyphens w:val="0"/>
      <w:spacing w:before="60" w:after="60"/>
      <w:jc w:val="both"/>
    </w:pPr>
    <w:rPr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97030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Stopka">
    <w:name w:val="footer"/>
    <w:basedOn w:val="Normalny"/>
    <w:link w:val="StopkaZnak"/>
    <w:unhideWhenUsed/>
    <w:rsid w:val="0097030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97030B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030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030B"/>
    <w:rPr>
      <w:rFonts w:ascii="Tahoma" w:eastAsia="Times New Roman" w:hAnsi="Tahoma" w:cs="Tahoma"/>
      <w:kern w:val="2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4A2F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sw tekst"/>
    <w:basedOn w:val="Normalny"/>
    <w:link w:val="AkapitzlistZnak"/>
    <w:uiPriority w:val="34"/>
    <w:qFormat/>
    <w:rsid w:val="004A2FFA"/>
    <w:pPr>
      <w:ind w:left="720"/>
      <w:contextualSpacing/>
    </w:pPr>
  </w:style>
  <w:style w:type="character" w:customStyle="1" w:styleId="AkapitzlistZnak">
    <w:name w:val="Akapit z listą Znak"/>
    <w:aliases w:val="sw tekst Znak"/>
    <w:link w:val="Akapitzlist"/>
    <w:uiPriority w:val="34"/>
    <w:locked/>
    <w:rsid w:val="004A2FFA"/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customStyle="1" w:styleId="AbsatzTableFormat">
    <w:name w:val="AbsatzTableFormat"/>
    <w:basedOn w:val="Normalny"/>
    <w:rsid w:val="004A2FFA"/>
    <w:pPr>
      <w:suppressAutoHyphens w:val="0"/>
    </w:pPr>
    <w:rPr>
      <w:kern w:val="1"/>
      <w:sz w:val="16"/>
      <w:szCs w:val="16"/>
      <w:lang w:eastAsia="pl-PL"/>
    </w:rPr>
  </w:style>
  <w:style w:type="paragraph" w:customStyle="1" w:styleId="Lista-kontynuacja24">
    <w:name w:val="Lista - kontynuacja 24"/>
    <w:basedOn w:val="Normalny"/>
    <w:rsid w:val="004A2FFA"/>
    <w:pPr>
      <w:widowControl w:val="0"/>
      <w:spacing w:after="120"/>
      <w:ind w:left="566"/>
    </w:pPr>
    <w:rPr>
      <w:rFonts w:eastAsia="Andale Sans UI"/>
    </w:rPr>
  </w:style>
  <w:style w:type="paragraph" w:customStyle="1" w:styleId="Standard">
    <w:name w:val="Standard"/>
    <w:rsid w:val="000A197A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paragraph" w:styleId="Tytu">
    <w:name w:val="Title"/>
    <w:basedOn w:val="Standard"/>
    <w:next w:val="Podtytu"/>
    <w:link w:val="TytuZnak"/>
    <w:qFormat/>
    <w:rsid w:val="00422218"/>
    <w:pPr>
      <w:autoSpaceDN w:val="0"/>
      <w:jc w:val="center"/>
    </w:pPr>
    <w:rPr>
      <w:rFonts w:ascii="Garamond" w:hAnsi="Garamond"/>
      <w:b/>
      <w:kern w:val="3"/>
      <w:sz w:val="22"/>
      <w:szCs w:val="22"/>
      <w:lang w:eastAsia="zh-CN"/>
    </w:rPr>
  </w:style>
  <w:style w:type="character" w:customStyle="1" w:styleId="TytuZnak">
    <w:name w:val="Tytuł Znak"/>
    <w:basedOn w:val="Domylnaczcionkaakapitu"/>
    <w:link w:val="Tytu"/>
    <w:rsid w:val="00422218"/>
    <w:rPr>
      <w:rFonts w:ascii="Garamond" w:eastAsia="Times New Roman" w:hAnsi="Garamond" w:cs="Times New Roman"/>
      <w:b/>
      <w:kern w:val="3"/>
      <w:lang w:eastAsia="zh-C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22218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422218"/>
    <w:rPr>
      <w:rFonts w:asciiTheme="majorHAnsi" w:eastAsiaTheme="majorEastAsia" w:hAnsiTheme="majorHAnsi" w:cstheme="majorBidi"/>
      <w:i/>
      <w:iCs/>
      <w:color w:val="4F81BD" w:themeColor="accent1"/>
      <w:spacing w:val="15"/>
      <w:kern w:val="2"/>
      <w:sz w:val="24"/>
      <w:szCs w:val="24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E051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E051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E0512"/>
    <w:rPr>
      <w:rFonts w:ascii="Times New Roman" w:eastAsia="Times New Roman" w:hAnsi="Times New Roman" w:cs="Times New Roman"/>
      <w:kern w:val="2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E051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E0512"/>
    <w:rPr>
      <w:rFonts w:ascii="Times New Roman" w:eastAsia="Times New Roman" w:hAnsi="Times New Roman" w:cs="Times New Roman"/>
      <w:b/>
      <w:bCs/>
      <w:kern w:val="2"/>
      <w:sz w:val="20"/>
      <w:szCs w:val="20"/>
      <w:lang w:eastAsia="ar-SA"/>
    </w:rPr>
  </w:style>
  <w:style w:type="paragraph" w:customStyle="1" w:styleId="Domylnie">
    <w:name w:val="Domy?lnie"/>
    <w:rsid w:val="008457D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zh-CN"/>
    </w:rPr>
  </w:style>
  <w:style w:type="paragraph" w:customStyle="1" w:styleId="Domynie">
    <w:name w:val="Domy徑nie"/>
    <w:rsid w:val="00D744F8"/>
    <w:pPr>
      <w:autoSpaceDE w:val="0"/>
      <w:autoSpaceDN w:val="0"/>
      <w:adjustRightInd w:val="0"/>
    </w:pPr>
    <w:rPr>
      <w:rFonts w:ascii="Calibri" w:eastAsia="Times New Roman" w:hAnsi="Lucida Sans Unicode" w:cs="Calibri"/>
      <w:kern w:val="1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9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4387</Words>
  <Characters>26326</Characters>
  <Application>Microsoft Office Word</Application>
  <DocSecurity>0</DocSecurity>
  <Lines>219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30652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2018-06-05T07:10:00Z</dcterms:created>
  <dcterms:modified xsi:type="dcterms:W3CDTF">2018-06-05T08:48:00Z</dcterms:modified>
</cp:coreProperties>
</file>