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28" w:rsidRDefault="004E24DB" w:rsidP="004E24DB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DB5828" w:rsidRDefault="00DB5828" w:rsidP="00DB5828">
      <w:pPr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13.</w:t>
      </w:r>
    </w:p>
    <w:p w:rsidR="004E24DB" w:rsidRPr="00814F28" w:rsidRDefault="004E24DB" w:rsidP="00DB5828">
      <w:pPr>
        <w:pStyle w:val="Tytu"/>
        <w:tabs>
          <w:tab w:val="center" w:pos="7002"/>
          <w:tab w:val="left" w:pos="9015"/>
        </w:tabs>
        <w:spacing w:line="288" w:lineRule="auto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Podgrzewacz płynów infuzyjnych/ stacjonarny </w:t>
      </w:r>
      <w:r w:rsidRPr="00392803">
        <w:rPr>
          <w:rFonts w:ascii="Century Gothic" w:hAnsi="Century Gothic"/>
          <w:sz w:val="18"/>
          <w:szCs w:val="18"/>
        </w:rPr>
        <w:t>–</w:t>
      </w:r>
      <w:r w:rsidRPr="00814F28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10</w:t>
      </w:r>
      <w:r w:rsidRPr="00814F28">
        <w:rPr>
          <w:rFonts w:ascii="Century Gothic" w:hAnsi="Century Gothic"/>
          <w:sz w:val="18"/>
          <w:szCs w:val="18"/>
        </w:rPr>
        <w:t xml:space="preserve"> szt.</w:t>
      </w:r>
    </w:p>
    <w:p w:rsidR="00DB5828" w:rsidRDefault="00DB582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B5828" w:rsidRDefault="00DB582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B58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DB5828" w:rsidRDefault="00DB5828">
      <w:pPr>
        <w:rPr>
          <w:rFonts w:ascii="Century Gothic" w:eastAsia="Lucida Sans Unicode" w:hAnsi="Century Gothic" w:cs="Times New Roman"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sz w:val="18"/>
          <w:szCs w:val="18"/>
        </w:rPr>
        <w:br w:type="page"/>
      </w:r>
    </w:p>
    <w:p w:rsidR="00DB5828" w:rsidRDefault="00DB5828" w:rsidP="00DB582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DB5828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B5828" w:rsidRPr="00093CB2" w:rsidRDefault="00DB5828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828" w:rsidRPr="00093CB2" w:rsidRDefault="00DB5828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828" w:rsidRPr="00093CB2" w:rsidRDefault="00DB5828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828" w:rsidRPr="00093CB2" w:rsidRDefault="00DB5828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DB5828" w:rsidRPr="00847322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B5828" w:rsidRPr="00847322" w:rsidRDefault="00DB5828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847322">
              <w:rPr>
                <w:rFonts w:ascii="Garamond" w:hAnsi="Garamond" w:cs="Times New Roman"/>
                <w:b/>
              </w:rPr>
              <w:t>Podgrzewacz płynów infuzyjnych/ stacjonarny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B5828" w:rsidRPr="00847322" w:rsidRDefault="00704302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10</w:t>
            </w:r>
            <w:bookmarkStart w:id="0" w:name="_GoBack"/>
            <w:bookmarkEnd w:id="0"/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28" w:rsidRPr="0084732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28" w:rsidRPr="0084732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5828" w:rsidRPr="00093CB2" w:rsidRDefault="00DB5828" w:rsidP="00DB5828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DB5828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DB5828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5828" w:rsidRPr="00093CB2" w:rsidRDefault="00DB5828" w:rsidP="00DB5828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DB5828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DB5828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828" w:rsidRPr="00093CB2" w:rsidRDefault="00DB5828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B5828" w:rsidRPr="00093CB2" w:rsidRDefault="00DB5828" w:rsidP="00DB5828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DB5828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B5828" w:rsidRPr="00093CB2" w:rsidRDefault="00DB5828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5828" w:rsidRPr="00093CB2" w:rsidRDefault="00DB5828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DB5828" w:rsidRDefault="00DB5828" w:rsidP="00DB5828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DB5828" w:rsidRPr="00D1052B" w:rsidRDefault="00DB5828" w:rsidP="00DB5828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DB5828" w:rsidRDefault="00DB5828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E24DB" w:rsidRPr="00814F28" w:rsidRDefault="004E24DB" w:rsidP="004E24DB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E24DB" w:rsidRPr="00814F28" w:rsidRDefault="004E24DB" w:rsidP="004E24DB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4E24DB" w:rsidRPr="00814F28" w:rsidRDefault="004E24DB" w:rsidP="004E24DB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4E24DB" w:rsidRPr="00814F28" w:rsidTr="00CC7F0E">
        <w:tc>
          <w:tcPr>
            <w:tcW w:w="709" w:type="dxa"/>
            <w:vAlign w:val="center"/>
          </w:tcPr>
          <w:p w:rsidR="004E24DB" w:rsidRPr="00814F28" w:rsidRDefault="004E24DB" w:rsidP="00CC7F0E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E24DB" w:rsidRPr="00814F28" w:rsidRDefault="004E24DB" w:rsidP="00CC7F0E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24DB" w:rsidRPr="00814F28" w:rsidRDefault="004E24DB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24DB" w:rsidRPr="00814F28" w:rsidRDefault="004E24DB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24DB" w:rsidRPr="00814F28" w:rsidRDefault="004E24DB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E24DB" w:rsidRPr="00814F28" w:rsidTr="004E2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2B5AC3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2B5AC3">
              <w:rPr>
                <w:rFonts w:ascii="Century Gothic" w:hAnsi="Century Gothic"/>
                <w:sz w:val="18"/>
                <w:szCs w:val="18"/>
              </w:rPr>
              <w:t>º</w:t>
            </w: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010BD5" w:rsidRDefault="004E24DB" w:rsidP="00CC7F0E">
            <w:pPr>
              <w:spacing w:after="0"/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</w:pPr>
            <w:r w:rsidRPr="004E24DB">
              <w:rPr>
                <w:rFonts w:ascii="Century Gothic" w:eastAsia="Lucida Sans Unicode" w:hAnsi="Century Gothic" w:cs="Times New Roman"/>
                <w:kern w:val="3"/>
                <w:sz w:val="18"/>
                <w:szCs w:val="18"/>
                <w:lang w:eastAsia="zh-CN" w:bidi="hi-IN"/>
              </w:rPr>
              <w:t>Aparat do podgrzewania płynów infuzyjnych stacjonarny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010BD5" w:rsidRDefault="004E24DB" w:rsidP="004E24DB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4E24DB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Ogrzewacz z dwoma szufladami grzewczymi, mogącymi zm</w:t>
            </w:r>
            <w:r w:rsidR="002B5AC3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ieścić łącznie min. 30 butelek o</w:t>
            </w:r>
            <w:r w:rsidRPr="004E24DB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 xml:space="preserve"> pojemności 500 ml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010BD5" w:rsidRDefault="004E24DB" w:rsidP="00CC7F0E">
            <w:pPr>
              <w:spacing w:after="0"/>
              <w:jc w:val="both"/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</w:pPr>
            <w:r w:rsidRPr="004E24DB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Tempe</w:t>
            </w:r>
            <w:r w:rsidR="002B5AC3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ratura ustawiana na poziomie 39</w:t>
            </w:r>
            <w:r w:rsidR="002B5AC3"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º</w:t>
            </w:r>
            <w:r w:rsidRPr="004E24DB">
              <w:rPr>
                <w:rFonts w:ascii="Century Gothic" w:eastAsia="Lucida Sans Unicode" w:hAnsi="Century Gothic"/>
                <w:kern w:val="3"/>
                <w:sz w:val="18"/>
                <w:szCs w:val="18"/>
                <w:lang w:eastAsia="zh-CN" w:bidi="hi-IN"/>
              </w:rPr>
              <w:t>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814F28" w:rsidRDefault="004E24DB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Elektroniczne zabezpieczenie max. Temperatura 45º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814F28" w:rsidRDefault="004E24DB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Alarmy: wizualny i dźwiękowy w przypadku przegrzania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B5AC3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B5AC3" w:rsidRPr="002B5AC3" w:rsidRDefault="002B5AC3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814F28" w:rsidRDefault="002B5AC3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Automatycznie domykające się szuflady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3" w:rsidRPr="00814F28" w:rsidRDefault="002B5AC3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2B5AC3" w:rsidRDefault="002B5AC3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814F28" w:rsidRDefault="004E24DB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Cyfrowy wyświetlacz temperatury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B5AC3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B5AC3" w:rsidRPr="002B5AC3" w:rsidRDefault="002B5AC3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814F28" w:rsidRDefault="002B5AC3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Uchwyt do transportu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3" w:rsidRPr="00814F28" w:rsidRDefault="002B5AC3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2B5AC3" w:rsidRDefault="002B5AC3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E24DB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24DB" w:rsidRPr="002B5AC3" w:rsidRDefault="004E24DB" w:rsidP="002B5AC3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24DB" w:rsidRPr="00814F28" w:rsidRDefault="004E24DB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4E24DB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Obudowa z tworzywa sztucznego z izolacją cieplną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B" w:rsidRPr="00814F28" w:rsidRDefault="004E24DB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4DB" w:rsidRPr="00814F28" w:rsidRDefault="004E24DB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4E24DB" w:rsidRDefault="004E24DB" w:rsidP="004E24DB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0239A" w:rsidRDefault="0040239A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0239A" w:rsidRDefault="0040239A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lastRenderedPageBreak/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całość ewentualnych prac i wyposażenia sprzętowego, które będzie służyło tej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</w:t>
            </w: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Uwaga – szkolenia dodatkowe dla wszystkich grup w co najmniej takiej samej liczbie osób jak podano w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lastRenderedPageBreak/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A0" w:rsidRDefault="00585FA0" w:rsidP="002B10C5">
      <w:pPr>
        <w:spacing w:after="0" w:line="240" w:lineRule="auto"/>
      </w:pPr>
      <w:r>
        <w:separator/>
      </w:r>
    </w:p>
  </w:endnote>
  <w:endnote w:type="continuationSeparator" w:id="0">
    <w:p w:rsidR="00585FA0" w:rsidRDefault="00585FA0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DB5828" w:rsidRDefault="00DB5828" w:rsidP="00DB5828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02">
          <w:rPr>
            <w:noProof/>
          </w:rPr>
          <w:t>2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A0" w:rsidRDefault="00585FA0" w:rsidP="002B10C5">
      <w:pPr>
        <w:spacing w:after="0" w:line="240" w:lineRule="auto"/>
      </w:pPr>
      <w:r>
        <w:separator/>
      </w:r>
    </w:p>
  </w:footnote>
  <w:footnote w:type="continuationSeparator" w:id="0">
    <w:p w:rsidR="00585FA0" w:rsidRDefault="00585FA0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B5828" w:rsidRDefault="00DB5828" w:rsidP="00DB5828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DB5828" w:rsidRPr="00CE34CF" w:rsidRDefault="00DB5828" w:rsidP="00DB5828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85FA0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04302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47322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0D8F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B5828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FB13"/>
  <w15:docId w15:val="{5DF912F5-3C32-42AD-8A9C-AE218CB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1874-9697-4062-BE8A-84F4BC86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1269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6</cp:revision>
  <cp:lastPrinted>2019-03-01T09:42:00Z</cp:lastPrinted>
  <dcterms:created xsi:type="dcterms:W3CDTF">2019-03-20T13:34:00Z</dcterms:created>
  <dcterms:modified xsi:type="dcterms:W3CDTF">2019-04-05T07:47:00Z</dcterms:modified>
</cp:coreProperties>
</file>