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D98D1" w14:textId="77777777"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14:paraId="03808423" w14:textId="77777777" w:rsidTr="00B25F9D">
        <w:trPr>
          <w:trHeight w:val="406"/>
          <w:jc w:val="center"/>
        </w:trPr>
        <w:tc>
          <w:tcPr>
            <w:tcW w:w="13994" w:type="dxa"/>
            <w:shd w:val="clear" w:color="auto" w:fill="D9D9D9" w:themeFill="background1" w:themeFillShade="D9"/>
            <w:vAlign w:val="center"/>
          </w:tcPr>
          <w:p w14:paraId="00EC4786" w14:textId="77777777"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14:paraId="371EBBB3" w14:textId="77777777" w:rsidTr="00B25F9D">
        <w:trPr>
          <w:trHeight w:val="643"/>
          <w:jc w:val="center"/>
        </w:trPr>
        <w:tc>
          <w:tcPr>
            <w:tcW w:w="13994" w:type="dxa"/>
            <w:shd w:val="clear" w:color="auto" w:fill="F2F2F2" w:themeFill="background1" w:themeFillShade="F2"/>
            <w:vAlign w:val="center"/>
          </w:tcPr>
          <w:p w14:paraId="7459E122" w14:textId="77777777" w:rsidR="00A86DAE" w:rsidRPr="00AC2198" w:rsidRDefault="009D7CC8"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DC4D69">
              <w:rPr>
                <w:rFonts w:eastAsia="Lucida Sans Unicode"/>
                <w:b/>
                <w:kern w:val="3"/>
                <w:lang w:eastAsia="zh-CN" w:bidi="hi-IN"/>
              </w:rPr>
              <w:t>10</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sidR="00DC4D69">
              <w:rPr>
                <w:rFonts w:eastAsia="Lucida Sans Unicode"/>
                <w:b/>
                <w:kern w:val="3"/>
                <w:lang w:eastAsia="zh-CN" w:bidi="hi-IN"/>
              </w:rPr>
              <w:t>T</w:t>
            </w:r>
            <w:r w:rsidR="00DC4D69" w:rsidRPr="00DC4D69">
              <w:rPr>
                <w:rFonts w:eastAsia="Lucida Sans Unicode"/>
                <w:b/>
                <w:kern w:val="3"/>
                <w:lang w:eastAsia="zh-CN" w:bidi="hi-IN"/>
              </w:rPr>
              <w:t>omog</w:t>
            </w:r>
            <w:r w:rsidR="00DC4D69">
              <w:rPr>
                <w:rFonts w:eastAsia="Lucida Sans Unicode"/>
                <w:b/>
                <w:kern w:val="3"/>
                <w:lang w:eastAsia="zh-CN" w:bidi="hi-IN"/>
              </w:rPr>
              <w:t xml:space="preserve">raf do badania kończyn dolnych </w:t>
            </w:r>
            <w:r w:rsidR="00DC4D69" w:rsidRPr="00DC4D69">
              <w:rPr>
                <w:rFonts w:eastAsia="Lucida Sans Unicode"/>
                <w:b/>
                <w:kern w:val="3"/>
                <w:lang w:eastAsia="zh-CN" w:bidi="hi-IN"/>
              </w:rPr>
              <w:t>i górnych</w:t>
            </w:r>
            <w:r w:rsidR="008F08E2">
              <w:rPr>
                <w:rFonts w:eastAsia="Lucida Sans Unicode"/>
                <w:b/>
                <w:kern w:val="3"/>
                <w:lang w:eastAsia="zh-CN" w:bidi="hi-IN"/>
              </w:rPr>
              <w:t xml:space="preserve"> (1 sztuka)</w:t>
            </w:r>
          </w:p>
        </w:tc>
      </w:tr>
    </w:tbl>
    <w:p w14:paraId="31139905"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14:paraId="57E22A3C" w14:textId="77777777"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14:paraId="1A7B1C56"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14:paraId="7FFACF3A"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14:paraId="53ECE8EB"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14:paraId="42B05B29"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14:paraId="02A5FAEE" w14:textId="77777777" w:rsidR="00F44CB3" w:rsidRPr="00AC2198" w:rsidRDefault="00F44CB3" w:rsidP="00C87AED">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14:paraId="3498376E" w14:textId="77777777" w:rsidR="00AC2198" w:rsidRPr="00AC2198" w:rsidRDefault="00B12A8E" w:rsidP="00C87AED">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4E934EEE" w14:textId="77777777" w:rsidR="008D0538" w:rsidRPr="00AC2198" w:rsidRDefault="008D0538" w:rsidP="00C87AED">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447D462"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14:paraId="52AB77DC"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14:paraId="17221EF9"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14:paraId="130AE717" w14:textId="77777777"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14:paraId="24500C6A" w14:textId="77777777" w:rsidR="00AC2198" w:rsidRDefault="00AC2198">
      <w:pPr>
        <w:rPr>
          <w:rFonts w:ascii="Century Gothic" w:eastAsia="Times New Roman" w:hAnsi="Century Gothic" w:cs="Arial"/>
          <w:b/>
          <w:bCs/>
        </w:rPr>
      </w:pPr>
      <w:r>
        <w:rPr>
          <w:rFonts w:ascii="Century Gothic" w:eastAsia="Times New Roman" w:hAnsi="Century Gothic" w:cs="Arial"/>
          <w:b/>
          <w:bCs/>
        </w:rPr>
        <w:br w:type="page"/>
      </w:r>
    </w:p>
    <w:p w14:paraId="2DF8F4AF" w14:textId="77777777"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14:paraId="72861CD2" w14:textId="77777777"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42CF9D90" w14:textId="77777777"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9D7CC8">
              <w:t xml:space="preserve"> </w:t>
            </w:r>
            <w:r w:rsidR="008F08E2">
              <w:t xml:space="preserve"> </w:t>
            </w:r>
            <w:r w:rsidR="00DC4D69">
              <w:t xml:space="preserve"> </w:t>
            </w:r>
            <w:r w:rsidR="00DC4D69" w:rsidRPr="00DC4D69">
              <w:rPr>
                <w:rFonts w:ascii="Century Gothic" w:eastAsia="Times New Roman" w:hAnsi="Century Gothic" w:cs="Times New Roman"/>
                <w:b/>
                <w:sz w:val="20"/>
                <w:szCs w:val="20"/>
              </w:rPr>
              <w:t>Tomograf do badania kończyn dolnych i górnych</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31DC7BCC"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14:paraId="78C034D5" w14:textId="77777777"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14:paraId="1E0C8AB8" w14:textId="77777777"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14:paraId="62327402" w14:textId="77777777" w:rsidR="00AC2198" w:rsidRPr="00AC2198" w:rsidRDefault="00AC2198" w:rsidP="00AC2198">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Ilość sprzętu:</w:t>
            </w:r>
          </w:p>
        </w:tc>
        <w:tc>
          <w:tcPr>
            <w:tcW w:w="3686" w:type="dxa"/>
            <w:tcBorders>
              <w:top w:val="nil"/>
              <w:left w:val="single" w:sz="8" w:space="0" w:color="auto"/>
              <w:bottom w:val="single" w:sz="8" w:space="0" w:color="auto"/>
              <w:right w:val="single" w:sz="8" w:space="0" w:color="auto"/>
            </w:tcBorders>
            <w:vAlign w:val="center"/>
          </w:tcPr>
          <w:p w14:paraId="44994F49" w14:textId="77777777"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14:paraId="48838633"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7E724D8" w14:textId="77777777"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14:paraId="00B7B536" w14:textId="77777777"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14:paraId="22AF8667" w14:textId="77777777" w:rsidR="00AC2198" w:rsidRPr="00AC2198" w:rsidRDefault="008F08E2" w:rsidP="008F08E2">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686" w:type="dxa"/>
            <w:tcBorders>
              <w:top w:val="nil"/>
              <w:left w:val="single" w:sz="8" w:space="0" w:color="auto"/>
              <w:bottom w:val="single" w:sz="8" w:space="0" w:color="auto"/>
              <w:right w:val="single" w:sz="8" w:space="0" w:color="auto"/>
            </w:tcBorders>
            <w:vAlign w:val="center"/>
          </w:tcPr>
          <w:p w14:paraId="42C3D038" w14:textId="77777777"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14:paraId="6D17DF87"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4A317618" w14:textId="77777777"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097D5467"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81BB668"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223BD80A" w14:textId="77777777"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68C470A"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2E8E400C"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14:paraId="7DE25C45" w14:textId="77777777"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14:paraId="6CDBBCA4" w14:textId="77777777"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14:paraId="44E0C495" w14:textId="77777777"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14:paraId="6FFAC297" w14:textId="77777777"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14:paraId="0208210E"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14:paraId="0CE8D5DA"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314"/>
        <w:gridCol w:w="1933"/>
        <w:gridCol w:w="4760"/>
        <w:gridCol w:w="3000"/>
      </w:tblGrid>
      <w:tr w:rsidR="003B50CC" w:rsidRPr="003E0817" w14:paraId="04461DAB" w14:textId="77777777" w:rsidTr="003B50CC">
        <w:trPr>
          <w:trHeight w:val="247"/>
        </w:trPr>
        <w:tc>
          <w:tcPr>
            <w:tcW w:w="560" w:type="dxa"/>
            <w:tcBorders>
              <w:top w:val="single" w:sz="4" w:space="0" w:color="auto"/>
              <w:left w:val="single" w:sz="4" w:space="0" w:color="auto"/>
              <w:bottom w:val="single" w:sz="4" w:space="0" w:color="auto"/>
              <w:right w:val="single" w:sz="4" w:space="0" w:color="auto"/>
            </w:tcBorders>
            <w:hideMark/>
          </w:tcPr>
          <w:p w14:paraId="5B60D5C7" w14:textId="77777777" w:rsidR="003B50CC" w:rsidRPr="002A5F51" w:rsidRDefault="003B50CC" w:rsidP="00DC4D69">
            <w:pPr>
              <w:widowControl w:val="0"/>
              <w:suppressAutoHyphens/>
              <w:spacing w:after="0" w:line="240" w:lineRule="auto"/>
              <w:rPr>
                <w:rFonts w:ascii="Century Gothic" w:eastAsia="Times New Roman" w:hAnsi="Century Gothic" w:cs="Arial"/>
                <w:b/>
                <w:bCs/>
                <w:kern w:val="2"/>
                <w:sz w:val="16"/>
                <w:szCs w:val="16"/>
                <w:lang w:eastAsia="pl-PL"/>
              </w:rPr>
            </w:pPr>
            <w:r w:rsidRPr="002A5F51">
              <w:rPr>
                <w:rFonts w:ascii="Century Gothic" w:eastAsia="Times New Roman" w:hAnsi="Century Gothic" w:cs="Arial"/>
                <w:b/>
                <w:bCs/>
                <w:kern w:val="2"/>
                <w:sz w:val="16"/>
                <w:szCs w:val="16"/>
                <w:lang w:eastAsia="pl-PL"/>
              </w:rPr>
              <w:t>l.p.</w:t>
            </w:r>
          </w:p>
        </w:tc>
        <w:tc>
          <w:tcPr>
            <w:tcW w:w="4314" w:type="dxa"/>
            <w:tcBorders>
              <w:top w:val="single" w:sz="4" w:space="0" w:color="auto"/>
              <w:left w:val="single" w:sz="4" w:space="0" w:color="auto"/>
              <w:right w:val="single" w:sz="4" w:space="0" w:color="auto"/>
            </w:tcBorders>
            <w:hideMark/>
          </w:tcPr>
          <w:p w14:paraId="2CF60C00" w14:textId="77777777" w:rsidR="003B50CC" w:rsidRPr="003E0817" w:rsidRDefault="003B50CC" w:rsidP="00DC4D69">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1933" w:type="dxa"/>
            <w:tcBorders>
              <w:top w:val="single" w:sz="4" w:space="0" w:color="auto"/>
              <w:left w:val="single" w:sz="4" w:space="0" w:color="auto"/>
              <w:bottom w:val="single" w:sz="4" w:space="0" w:color="auto"/>
              <w:right w:val="single" w:sz="4" w:space="0" w:color="auto"/>
            </w:tcBorders>
            <w:hideMark/>
          </w:tcPr>
          <w:p w14:paraId="763728F3" w14:textId="77777777" w:rsidR="003B50CC" w:rsidRPr="003E0817" w:rsidRDefault="003B50CC" w:rsidP="00DC4D69">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760" w:type="dxa"/>
            <w:tcBorders>
              <w:top w:val="single" w:sz="4" w:space="0" w:color="auto"/>
              <w:left w:val="single" w:sz="4" w:space="0" w:color="auto"/>
              <w:bottom w:val="single" w:sz="4" w:space="0" w:color="auto"/>
              <w:right w:val="single" w:sz="4" w:space="0" w:color="auto"/>
            </w:tcBorders>
          </w:tcPr>
          <w:p w14:paraId="3D2AE106" w14:textId="77777777" w:rsidR="003B50CC" w:rsidRPr="003E0817" w:rsidRDefault="003B50CC" w:rsidP="00DC4D69">
            <w:pPr>
              <w:widowControl w:val="0"/>
              <w:suppressAutoHyphens/>
              <w:spacing w:after="0" w:line="240"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p>
        </w:tc>
        <w:tc>
          <w:tcPr>
            <w:tcW w:w="3000" w:type="dxa"/>
            <w:tcBorders>
              <w:top w:val="single" w:sz="4" w:space="0" w:color="auto"/>
              <w:left w:val="single" w:sz="4" w:space="0" w:color="auto"/>
              <w:bottom w:val="single" w:sz="4" w:space="0" w:color="auto"/>
              <w:right w:val="single" w:sz="4" w:space="0" w:color="auto"/>
            </w:tcBorders>
            <w:hideMark/>
          </w:tcPr>
          <w:p w14:paraId="310768A4" w14:textId="77777777" w:rsidR="003B50CC" w:rsidRPr="003E0817" w:rsidRDefault="003B50CC" w:rsidP="00DC4D69">
            <w:pPr>
              <w:widowControl w:val="0"/>
              <w:suppressAutoHyphens/>
              <w:spacing w:after="0" w:line="240"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DC4D69" w:rsidRPr="003E0817" w14:paraId="2C40A8A0"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0ECE48B"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6B085D8B"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WYMAGANIA OGÓLNE</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3AF98E6A" w14:textId="77777777" w:rsidR="00DC4D69" w:rsidRPr="00DC4D69" w:rsidRDefault="00DC4D69" w:rsidP="00DC4D69">
            <w:pPr>
              <w:spacing w:after="0" w:line="240" w:lineRule="auto"/>
              <w:jc w:val="center"/>
              <w:rPr>
                <w:rFonts w:ascii="Century Gothic" w:eastAsia="Times New Roman" w:hAnsi="Century Gothic" w:cs="Arial"/>
                <w:b/>
                <w:bCs/>
                <w:sz w:val="16"/>
                <w:szCs w:val="16"/>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2D94829" w14:textId="77777777" w:rsidR="00DC4D69" w:rsidRPr="00DC4D69" w:rsidRDefault="00DC4D69" w:rsidP="00DC4D69">
            <w:pPr>
              <w:spacing w:after="0" w:line="240" w:lineRule="auto"/>
              <w:jc w:val="center"/>
              <w:rPr>
                <w:rFonts w:ascii="Century Gothic" w:eastAsia="Times New Roman" w:hAnsi="Century Gothic" w:cs="Arial"/>
                <w:b/>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4B20398" w14:textId="77777777" w:rsidR="00DC4D69" w:rsidRPr="00DC4D69" w:rsidRDefault="00DC4D69" w:rsidP="00DC4D69">
            <w:pPr>
              <w:spacing w:after="0" w:line="240" w:lineRule="auto"/>
              <w:jc w:val="center"/>
              <w:rPr>
                <w:rFonts w:ascii="Century Gothic" w:eastAsia="Times New Roman" w:hAnsi="Century Gothic" w:cs="Arial"/>
                <w:b/>
                <w:bCs/>
                <w:sz w:val="16"/>
                <w:szCs w:val="16"/>
              </w:rPr>
            </w:pPr>
          </w:p>
        </w:tc>
      </w:tr>
      <w:tr w:rsidR="00DC4D69" w:rsidRPr="003E0817" w14:paraId="687E4698"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791C3C3"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E0FEE2D"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 xml:space="preserve">Tomograf komputerowy umożliwiający uzyskanie podczas pojedynczego </w:t>
            </w:r>
            <w:proofErr w:type="spellStart"/>
            <w:r w:rsidRPr="00DC4D69">
              <w:rPr>
                <w:rFonts w:ascii="Century Gothic" w:hAnsi="Century Gothic" w:cs="Calibri"/>
                <w:sz w:val="16"/>
                <w:szCs w:val="16"/>
              </w:rPr>
              <w:t>skanu</w:t>
            </w:r>
            <w:proofErr w:type="spellEnd"/>
            <w:r w:rsidRPr="00DC4D69">
              <w:rPr>
                <w:rFonts w:ascii="Century Gothic" w:hAnsi="Century Gothic" w:cs="Calibri"/>
                <w:sz w:val="16"/>
                <w:szCs w:val="16"/>
              </w:rPr>
              <w:t>, pełnego obrazu 3D:</w:t>
            </w:r>
          </w:p>
          <w:p w14:paraId="04310221"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-2 stóp pacjenta pod naturalnym obciążeniem</w:t>
            </w:r>
          </w:p>
          <w:p w14:paraId="672B4DEE"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- 2 stawów kolanowych pacjenta pod naturalnym obciążeniem</w:t>
            </w:r>
          </w:p>
          <w:p w14:paraId="0359882B"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- 1 ręki wraz z nadgarstkiem</w:t>
            </w:r>
          </w:p>
          <w:p w14:paraId="1CC991E5"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- 1 przedramienia wraz ze stawem łokciowym</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BEEC179"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1814382"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7079224"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39FAD268"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F67150D"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409F79C6"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Możliwość wykonania badania w pozycji siedzącej przy odciążonych stawach</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10F89E8"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0C2A4F1E"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E29F077"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263E56A5"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666BD11"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0E70147D"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proofErr w:type="spellStart"/>
            <w:r w:rsidRPr="00DC4D69">
              <w:rPr>
                <w:rFonts w:ascii="Century Gothic" w:hAnsi="Century Gothic" w:cs="Calibri"/>
                <w:sz w:val="16"/>
                <w:szCs w:val="16"/>
              </w:rPr>
              <w:t>Skan</w:t>
            </w:r>
            <w:proofErr w:type="spellEnd"/>
            <w:r w:rsidRPr="00DC4D69">
              <w:rPr>
                <w:rFonts w:ascii="Century Gothic" w:hAnsi="Century Gothic" w:cs="Calibri"/>
                <w:sz w:val="16"/>
                <w:szCs w:val="16"/>
              </w:rPr>
              <w:t xml:space="preserve"> odbywający się wokół osi prostopadłej do płaszczyzny montażu</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CCEB4AE"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20F67D09"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B2785A2"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30FDFAC6"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08EB3A9"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D8F2B51"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 xml:space="preserve">Otwierane </w:t>
            </w:r>
            <w:proofErr w:type="spellStart"/>
            <w:r w:rsidRPr="00DC4D69">
              <w:rPr>
                <w:rFonts w:ascii="Century Gothic" w:hAnsi="Century Gothic" w:cs="Calibri"/>
                <w:sz w:val="16"/>
                <w:szCs w:val="16"/>
              </w:rPr>
              <w:t>gantry</w:t>
            </w:r>
            <w:proofErr w:type="spellEnd"/>
            <w:r w:rsidRPr="00DC4D69">
              <w:rPr>
                <w:rFonts w:ascii="Century Gothic" w:hAnsi="Century Gothic" w:cs="Calibri"/>
                <w:sz w:val="16"/>
                <w:szCs w:val="16"/>
              </w:rPr>
              <w:t xml:space="preserve"> ułatwiające pacjentowi zajęcie miejsca do badania</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387DA2DC"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6DDA2FF"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FC2D8A5"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39B64BB7"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A8A46B0"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45C68FB9"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System wyposażony w wewnętrzną osłonę przeciwradiacyjną zmniejszającą promieniowanie na zewnątrz aparatu</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6D84987A"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2DA6C38"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0766966"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69B33144"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21838745"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4DE92919"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Waga urządzenia =&lt; 380 [kg]</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4DA856B"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E3D0B79"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6EE043D"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Wartość wymagana – 1 pkt.</w:t>
            </w:r>
          </w:p>
          <w:p w14:paraId="4425657C"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Niższa niż wymagana – 2 pkt.</w:t>
            </w:r>
          </w:p>
        </w:tc>
      </w:tr>
      <w:tr w:rsidR="00DC4D69" w:rsidRPr="003E0817" w14:paraId="07F6B940"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A75FB23"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B3023BD"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SYSTEM OBRAZOWANIA</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0D7E213" w14:textId="1D0FA1EA" w:rsidR="00DC4D69" w:rsidRPr="00DC4D69" w:rsidRDefault="00EB3947" w:rsidP="00DC4D69">
            <w:pPr>
              <w:spacing w:after="0" w:line="240" w:lineRule="auto"/>
              <w:jc w:val="center"/>
              <w:rPr>
                <w:rFonts w:ascii="Century Gothic" w:hAnsi="Century Gothic" w:cstheme="minorHAnsi"/>
                <w:sz w:val="16"/>
                <w:szCs w:val="16"/>
              </w:rPr>
            </w:pPr>
            <w:r>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508D9A1"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F91D074" w14:textId="1AAF88BE" w:rsidR="00DC4D69" w:rsidRPr="00DC4D69" w:rsidRDefault="00EB3947"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227A25EB"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F2D8E30"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1B49B49"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 xml:space="preserve">Max. zakres kątowy </w:t>
            </w:r>
            <w:proofErr w:type="spellStart"/>
            <w:r w:rsidRPr="00DC4D69">
              <w:rPr>
                <w:rFonts w:ascii="Century Gothic" w:hAnsi="Century Gothic" w:cs="Calibri"/>
                <w:sz w:val="16"/>
                <w:szCs w:val="16"/>
              </w:rPr>
              <w:t>skanu</w:t>
            </w:r>
            <w:proofErr w:type="spellEnd"/>
            <w:r w:rsidRPr="00DC4D69">
              <w:rPr>
                <w:rFonts w:ascii="Century Gothic" w:hAnsi="Century Gothic" w:cs="Calibri"/>
                <w:sz w:val="16"/>
                <w:szCs w:val="16"/>
              </w:rPr>
              <w:t xml:space="preserve"> &gt;= 360 [°]</w:t>
            </w:r>
          </w:p>
          <w:p w14:paraId="78B5FCCF"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78B0815D"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265FC9D8"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43CF1D17"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Wartość wymagana – 1 pkt.</w:t>
            </w:r>
          </w:p>
          <w:p w14:paraId="7B9BC8FA"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Wyższa niż wymagana – 2 pkt.</w:t>
            </w:r>
          </w:p>
        </w:tc>
      </w:tr>
      <w:tr w:rsidR="00DC4D69" w:rsidRPr="003E0817" w14:paraId="4E8AC82E"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30D6F07"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75694465"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 xml:space="preserve">Dostępne wartości napięcia do wyboru do </w:t>
            </w:r>
            <w:proofErr w:type="spellStart"/>
            <w:r w:rsidRPr="00DC4D69">
              <w:rPr>
                <w:rFonts w:ascii="Century Gothic" w:hAnsi="Century Gothic" w:cs="Calibri"/>
                <w:sz w:val="16"/>
                <w:szCs w:val="16"/>
              </w:rPr>
              <w:t>skanu</w:t>
            </w:r>
            <w:proofErr w:type="spellEnd"/>
            <w:r w:rsidRPr="00DC4D69">
              <w:rPr>
                <w:rFonts w:ascii="Century Gothic" w:hAnsi="Century Gothic" w:cs="Calibri"/>
                <w:sz w:val="16"/>
                <w:szCs w:val="16"/>
              </w:rPr>
              <w:t xml:space="preserve"> m</w:t>
            </w:r>
            <w:r w:rsidR="0071525D">
              <w:rPr>
                <w:rFonts w:ascii="Century Gothic" w:hAnsi="Century Gothic" w:cs="Calibri"/>
                <w:sz w:val="16"/>
                <w:szCs w:val="16"/>
              </w:rPr>
              <w:t>in. 100,</w:t>
            </w:r>
            <w:r w:rsidRPr="00DC4D69">
              <w:rPr>
                <w:rFonts w:ascii="Century Gothic" w:hAnsi="Century Gothic" w:cs="Calibri"/>
                <w:sz w:val="16"/>
                <w:szCs w:val="16"/>
              </w:rPr>
              <w:t>120 [</w:t>
            </w:r>
            <w:proofErr w:type="spellStart"/>
            <w:r w:rsidRPr="00DC4D69">
              <w:rPr>
                <w:rFonts w:ascii="Century Gothic" w:hAnsi="Century Gothic" w:cs="Calibri"/>
                <w:sz w:val="16"/>
                <w:szCs w:val="16"/>
              </w:rPr>
              <w:t>kV</w:t>
            </w:r>
            <w:proofErr w:type="spellEnd"/>
            <w:r w:rsidRPr="00DC4D69">
              <w:rPr>
                <w:rFonts w:ascii="Century Gothic" w:hAnsi="Century Gothic" w:cs="Calibri"/>
                <w:sz w:val="16"/>
                <w:szCs w:val="16"/>
              </w:rPr>
              <w:t>]</w:t>
            </w:r>
          </w:p>
          <w:p w14:paraId="6271C343"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415CC2D2"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EAAD832"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B34AAD7"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551E3154"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D2E70E4"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9ADAF0C"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 xml:space="preserve">Max. wysokość obrazowania podczas pojedynczego </w:t>
            </w:r>
            <w:proofErr w:type="spellStart"/>
            <w:r w:rsidRPr="00DC4D69">
              <w:rPr>
                <w:rFonts w:ascii="Century Gothic" w:hAnsi="Century Gothic" w:cs="Calibri"/>
                <w:sz w:val="16"/>
                <w:szCs w:val="16"/>
              </w:rPr>
              <w:t>skanu</w:t>
            </w:r>
            <w:proofErr w:type="spellEnd"/>
            <w:r w:rsidRPr="00DC4D69">
              <w:rPr>
                <w:rFonts w:ascii="Century Gothic" w:hAnsi="Century Gothic" w:cs="Calibri"/>
                <w:sz w:val="16"/>
                <w:szCs w:val="16"/>
              </w:rPr>
              <w:t xml:space="preserve"> min. 18 [cm]</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7213F7E"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318DA056"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14CDBBC"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Wartość wymagana – 1 pkt.</w:t>
            </w:r>
          </w:p>
          <w:p w14:paraId="1C9682A2"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Wyższa niż wymagana – 2 pkt.</w:t>
            </w:r>
          </w:p>
        </w:tc>
      </w:tr>
      <w:tr w:rsidR="00DC4D69" w:rsidRPr="003E0817" w14:paraId="02EDDDE7"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257515D"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6AD91B33"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 xml:space="preserve">Max. średnica obrazowania podczas pojedynczego </w:t>
            </w:r>
            <w:proofErr w:type="spellStart"/>
            <w:r w:rsidRPr="00DC4D69">
              <w:rPr>
                <w:rFonts w:ascii="Century Gothic" w:hAnsi="Century Gothic" w:cs="Calibri"/>
                <w:sz w:val="16"/>
                <w:szCs w:val="16"/>
              </w:rPr>
              <w:t>skanu</w:t>
            </w:r>
            <w:proofErr w:type="spellEnd"/>
            <w:r w:rsidRPr="00DC4D69">
              <w:rPr>
                <w:rFonts w:ascii="Century Gothic" w:hAnsi="Century Gothic" w:cs="Calibri"/>
                <w:sz w:val="16"/>
                <w:szCs w:val="16"/>
              </w:rPr>
              <w:t xml:space="preserve"> min. 32 [cm]</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5F55922"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50694398"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152FAAD"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Wartość wymagana – 1 pkt.</w:t>
            </w:r>
          </w:p>
          <w:p w14:paraId="1767C499"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Wyższa niż wymagana – 2 pkt.</w:t>
            </w:r>
          </w:p>
        </w:tc>
      </w:tr>
      <w:tr w:rsidR="00DC4D69" w:rsidRPr="003E0817" w14:paraId="76CE43FE"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A66A2DB"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4E82B7C0"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Głębokość obrazowania min. 16 [bit]</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7D02BD4"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582E06C8"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78C70B48"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Wartość wymagana – 1 pkt.</w:t>
            </w:r>
          </w:p>
          <w:p w14:paraId="0708C730"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Wyższa niż wymagana – 2 pkt.</w:t>
            </w:r>
          </w:p>
        </w:tc>
      </w:tr>
      <w:tr w:rsidR="00EB3947" w:rsidRPr="003E0817" w14:paraId="1070AE3C"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2135305" w14:textId="77777777" w:rsidR="00EB3947" w:rsidRPr="00483C43" w:rsidRDefault="00EB3947"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1A64C873" w14:textId="77777777" w:rsidR="00EB3947" w:rsidRPr="00DC4D69" w:rsidRDefault="00EB3947"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STACJA DO POSTPROCESSINGU</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76AB141" w14:textId="3AC4B5D4" w:rsidR="00EB3947" w:rsidRPr="00DC4D69" w:rsidRDefault="00EB3947"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31EDD69" w14:textId="77777777" w:rsidR="00EB3947" w:rsidRPr="00DC4D69" w:rsidRDefault="00EB3947"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220D3F9" w14:textId="27805B36" w:rsidR="00EB3947" w:rsidRPr="00DC4D69" w:rsidRDefault="00EB3947"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3B71F062"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DD8DECE"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13E868B8"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 xml:space="preserve">Rekonstrukcja 3D badanych struktur na podstawie danych ze </w:t>
            </w:r>
            <w:proofErr w:type="spellStart"/>
            <w:r w:rsidRPr="00DC4D69">
              <w:rPr>
                <w:rFonts w:ascii="Century Gothic" w:hAnsi="Century Gothic" w:cs="Calibri"/>
                <w:sz w:val="16"/>
                <w:szCs w:val="16"/>
              </w:rPr>
              <w:t>skanu</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6061330"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21B090E"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22373827"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7F68ED9D"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1D1FACA1"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632E6BD6"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Rekonstrukcja 3D badanej kończyny dolnej i przedstawienie jej w całości od stopy do stawu kolanowego</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6EBD84C"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20D59023"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C074EDB"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135CE160"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777099DE"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35CBC0FA"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 xml:space="preserve">Przeglądanie badanych struktur w płaszczyznach strzałkowej, </w:t>
            </w:r>
            <w:proofErr w:type="spellStart"/>
            <w:r w:rsidRPr="00DC4D69">
              <w:rPr>
                <w:rFonts w:ascii="Century Gothic" w:hAnsi="Century Gothic" w:cs="Calibri"/>
                <w:sz w:val="16"/>
                <w:szCs w:val="16"/>
              </w:rPr>
              <w:t>koronalnej</w:t>
            </w:r>
            <w:proofErr w:type="spellEnd"/>
            <w:r w:rsidRPr="00DC4D69">
              <w:rPr>
                <w:rFonts w:ascii="Century Gothic" w:hAnsi="Century Gothic" w:cs="Calibri"/>
                <w:sz w:val="16"/>
                <w:szCs w:val="16"/>
              </w:rPr>
              <w:t>, sagitalnej</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64B6FCE0"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5B101735"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1357336F"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70569217"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6D3ECE41"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1D7B7E2A"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Pomiary kątów i odległości</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5A3D020"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18741E50"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9BBAFDD"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56A82EF6"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442F7045"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6AF2E0E7"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 xml:space="preserve">Funkcjonalność umożliwiająca uzyskanie radiogramu badanej struktury w dowolnej projekcji, na podstawie danych ze </w:t>
            </w:r>
            <w:proofErr w:type="spellStart"/>
            <w:r w:rsidRPr="00DC4D69">
              <w:rPr>
                <w:rFonts w:ascii="Century Gothic" w:hAnsi="Century Gothic" w:cs="Calibri"/>
                <w:sz w:val="16"/>
                <w:szCs w:val="16"/>
              </w:rPr>
              <w:t>skanu</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02AAF5F5"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73AA6B2D"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6BDE9FDF"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r w:rsidR="00DC4D69" w:rsidRPr="003E0817" w14:paraId="35950012"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0D1E8470"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66CB73D5"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INNE</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2627A698" w14:textId="77777777" w:rsidR="00DC4D69" w:rsidRPr="00DC4D69" w:rsidRDefault="00DC4D69" w:rsidP="00DC4D69">
            <w:pPr>
              <w:spacing w:after="0" w:line="240" w:lineRule="auto"/>
              <w:jc w:val="center"/>
              <w:rPr>
                <w:rFonts w:ascii="Century Gothic" w:hAnsi="Century Gothic" w:cstheme="minorHAnsi"/>
                <w:sz w:val="16"/>
                <w:szCs w:val="16"/>
              </w:rPr>
            </w:pP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5A2EE47E"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5400965B"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r>
      <w:tr w:rsidR="00DC4D69" w:rsidRPr="003E0817" w14:paraId="67B4F903" w14:textId="77777777" w:rsidTr="00DC4D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14:paraId="3030724E" w14:textId="77777777" w:rsidR="00DC4D69" w:rsidRPr="00483C43" w:rsidRDefault="00DC4D69" w:rsidP="00DC4D69">
            <w:pPr>
              <w:pStyle w:val="Akapitzlist"/>
              <w:numPr>
                <w:ilvl w:val="0"/>
                <w:numId w:val="2"/>
              </w:numPr>
              <w:spacing w:after="0" w:line="240"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14:paraId="4D9DE3EA"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Dedykowany zintegrowany fotel  pacjenta umożliwiający:</w:t>
            </w:r>
          </w:p>
          <w:p w14:paraId="3D3D7015" w14:textId="77777777" w:rsidR="00DC4D69" w:rsidRPr="00DC4D69" w:rsidRDefault="00DC4D69" w:rsidP="00DC4D69">
            <w:pPr>
              <w:autoSpaceDE w:val="0"/>
              <w:autoSpaceDN w:val="0"/>
              <w:adjustRightInd w:val="0"/>
              <w:spacing w:after="0" w:line="240" w:lineRule="auto"/>
              <w:rPr>
                <w:rFonts w:ascii="Century Gothic" w:hAnsi="Century Gothic" w:cs="Calibri"/>
                <w:sz w:val="16"/>
                <w:szCs w:val="16"/>
              </w:rPr>
            </w:pPr>
            <w:r w:rsidRPr="00DC4D69">
              <w:rPr>
                <w:rFonts w:ascii="Century Gothic" w:hAnsi="Century Gothic" w:cs="Calibri"/>
                <w:sz w:val="16"/>
                <w:szCs w:val="16"/>
              </w:rPr>
              <w:t>-badanie w pozycji siedzącej przy odciążonych stawach</w:t>
            </w:r>
          </w:p>
          <w:p w14:paraId="7901BAEE" w14:textId="77777777" w:rsidR="00DC4D69" w:rsidRPr="00DC4D69" w:rsidRDefault="00DC4D69" w:rsidP="00DC4D69">
            <w:pPr>
              <w:autoSpaceDE w:val="0"/>
              <w:autoSpaceDN w:val="0"/>
              <w:adjustRightInd w:val="0"/>
              <w:spacing w:after="0" w:line="240" w:lineRule="auto"/>
              <w:rPr>
                <w:rFonts w:ascii="Century Gothic" w:hAnsi="Century Gothic" w:cs="Calibri"/>
                <w:color w:val="FF0000"/>
                <w:sz w:val="16"/>
                <w:szCs w:val="16"/>
              </w:rPr>
            </w:pPr>
            <w:r w:rsidRPr="00DC4D69">
              <w:rPr>
                <w:rFonts w:ascii="Century Gothic" w:hAnsi="Century Gothic" w:cs="Calibri"/>
                <w:sz w:val="16"/>
                <w:szCs w:val="16"/>
              </w:rPr>
              <w:t>- badanie ręki nadgarstka i stawu łokciowego przy jednoczesnym podparciu głowy oraz boku pacjenta z otworem na rękę</w:t>
            </w:r>
          </w:p>
        </w:tc>
        <w:tc>
          <w:tcPr>
            <w:tcW w:w="1933" w:type="dxa"/>
            <w:tcBorders>
              <w:top w:val="single" w:sz="4" w:space="0" w:color="auto"/>
              <w:left w:val="single" w:sz="4" w:space="0" w:color="auto"/>
              <w:bottom w:val="single" w:sz="4" w:space="0" w:color="auto"/>
              <w:right w:val="single" w:sz="4" w:space="0" w:color="auto"/>
            </w:tcBorders>
            <w:shd w:val="clear" w:color="auto" w:fill="auto"/>
          </w:tcPr>
          <w:p w14:paraId="526D2C7A" w14:textId="77777777" w:rsidR="00DC4D69" w:rsidRPr="00DC4D69" w:rsidRDefault="00DC4D69" w:rsidP="00DC4D69">
            <w:p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14:paraId="41503370"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14:paraId="3CD237D7" w14:textId="77777777" w:rsidR="00DC4D69" w:rsidRPr="00DC4D69" w:rsidRDefault="00DC4D69" w:rsidP="00DC4D69">
            <w:pPr>
              <w:numPr>
                <w:ilvl w:val="12"/>
                <w:numId w:val="0"/>
              </w:numPr>
              <w:spacing w:after="0" w:line="240" w:lineRule="auto"/>
              <w:jc w:val="center"/>
              <w:rPr>
                <w:rFonts w:ascii="Century Gothic" w:hAnsi="Century Gothic" w:cstheme="minorHAnsi"/>
                <w:sz w:val="16"/>
                <w:szCs w:val="16"/>
              </w:rPr>
            </w:pPr>
            <w:r w:rsidRPr="00DC4D69">
              <w:rPr>
                <w:rFonts w:ascii="Century Gothic" w:hAnsi="Century Gothic" w:cstheme="minorHAnsi"/>
                <w:sz w:val="16"/>
                <w:szCs w:val="16"/>
              </w:rPr>
              <w:t>- - -</w:t>
            </w:r>
          </w:p>
        </w:tc>
      </w:tr>
    </w:tbl>
    <w:p w14:paraId="24C1D3FD"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14:paraId="3AEE59F7"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14:paraId="64FE3664" w14:textId="77777777"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1843"/>
        <w:gridCol w:w="4819"/>
        <w:gridCol w:w="2976"/>
      </w:tblGrid>
      <w:tr w:rsidR="00776089" w:rsidRPr="003B50CC" w14:paraId="34B8E075" w14:textId="77777777" w:rsidTr="00016078">
        <w:tc>
          <w:tcPr>
            <w:tcW w:w="534" w:type="dxa"/>
            <w:tcBorders>
              <w:top w:val="single" w:sz="4" w:space="0" w:color="auto"/>
              <w:left w:val="single" w:sz="4" w:space="0" w:color="auto"/>
              <w:bottom w:val="single" w:sz="4" w:space="0" w:color="auto"/>
              <w:right w:val="single" w:sz="4" w:space="0" w:color="auto"/>
            </w:tcBorders>
            <w:hideMark/>
          </w:tcPr>
          <w:p w14:paraId="0779761E" w14:textId="77777777" w:rsidR="00776089" w:rsidRPr="003B50CC" w:rsidRDefault="00776089" w:rsidP="003B50CC">
            <w:pPr>
              <w:widowControl w:val="0"/>
              <w:suppressAutoHyphens/>
              <w:spacing w:after="0" w:line="288" w:lineRule="auto"/>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l.p.</w:t>
            </w:r>
          </w:p>
        </w:tc>
        <w:tc>
          <w:tcPr>
            <w:tcW w:w="4394" w:type="dxa"/>
            <w:tcBorders>
              <w:top w:val="single" w:sz="4" w:space="0" w:color="auto"/>
              <w:left w:val="single" w:sz="4" w:space="0" w:color="auto"/>
              <w:bottom w:val="single" w:sz="4" w:space="0" w:color="auto"/>
              <w:right w:val="single" w:sz="4" w:space="0" w:color="auto"/>
            </w:tcBorders>
            <w:hideMark/>
          </w:tcPr>
          <w:p w14:paraId="59B523EE" w14:textId="77777777" w:rsidR="00776089" w:rsidRPr="003B50CC" w:rsidRDefault="00776089" w:rsidP="00DC4D69">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w:t>
            </w:r>
          </w:p>
        </w:tc>
        <w:tc>
          <w:tcPr>
            <w:tcW w:w="1843" w:type="dxa"/>
            <w:tcBorders>
              <w:top w:val="single" w:sz="4" w:space="0" w:color="auto"/>
              <w:left w:val="single" w:sz="4" w:space="0" w:color="auto"/>
              <w:bottom w:val="single" w:sz="4" w:space="0" w:color="auto"/>
              <w:right w:val="single" w:sz="4" w:space="0" w:color="auto"/>
            </w:tcBorders>
            <w:hideMark/>
          </w:tcPr>
          <w:p w14:paraId="153042CC" w14:textId="77777777" w:rsidR="00776089" w:rsidRPr="003B50CC"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 wymagany</w:t>
            </w:r>
          </w:p>
        </w:tc>
        <w:tc>
          <w:tcPr>
            <w:tcW w:w="4819" w:type="dxa"/>
            <w:tcBorders>
              <w:top w:val="single" w:sz="4" w:space="0" w:color="auto"/>
              <w:left w:val="single" w:sz="4" w:space="0" w:color="auto"/>
              <w:bottom w:val="single" w:sz="4" w:space="0" w:color="auto"/>
              <w:right w:val="single" w:sz="4" w:space="0" w:color="auto"/>
            </w:tcBorders>
          </w:tcPr>
          <w:p w14:paraId="777F3DB5" w14:textId="77777777" w:rsidR="00776089" w:rsidRPr="003B50CC"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 oferowany</w:t>
            </w:r>
          </w:p>
        </w:tc>
        <w:tc>
          <w:tcPr>
            <w:tcW w:w="2976" w:type="dxa"/>
            <w:tcBorders>
              <w:top w:val="single" w:sz="4" w:space="0" w:color="auto"/>
              <w:left w:val="single" w:sz="4" w:space="0" w:color="auto"/>
              <w:bottom w:val="single" w:sz="4" w:space="0" w:color="auto"/>
              <w:right w:val="single" w:sz="4" w:space="0" w:color="auto"/>
            </w:tcBorders>
            <w:hideMark/>
          </w:tcPr>
          <w:p w14:paraId="676F5265" w14:textId="77777777" w:rsidR="00776089" w:rsidRPr="003E0817"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Sposób oceny parametru</w:t>
            </w:r>
          </w:p>
        </w:tc>
      </w:tr>
      <w:tr w:rsidR="00DC4D69" w:rsidRPr="003B50CC" w14:paraId="5FEEE763" w14:textId="77777777" w:rsidTr="00DC4D69">
        <w:tc>
          <w:tcPr>
            <w:tcW w:w="534" w:type="dxa"/>
            <w:tcBorders>
              <w:top w:val="single" w:sz="4" w:space="0" w:color="auto"/>
              <w:left w:val="single" w:sz="4" w:space="0" w:color="auto"/>
              <w:bottom w:val="single" w:sz="4" w:space="0" w:color="auto"/>
              <w:right w:val="single" w:sz="4" w:space="0" w:color="auto"/>
            </w:tcBorders>
          </w:tcPr>
          <w:p w14:paraId="3387B455"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781DF3D2"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Gwarancja na aparat [miesiące]</w:t>
            </w:r>
          </w:p>
          <w:p w14:paraId="301FC26A" w14:textId="77777777" w:rsidR="00DC4D69" w:rsidRPr="00DC4D69" w:rsidRDefault="00DC4D69" w:rsidP="00DC4D69">
            <w:pPr>
              <w:pStyle w:val="Standard"/>
              <w:snapToGrid w:val="0"/>
              <w:spacing w:line="288" w:lineRule="auto"/>
              <w:rPr>
                <w:rFonts w:ascii="Century Gothic" w:hAnsi="Century Gothic" w:cstheme="minorHAnsi"/>
                <w:sz w:val="16"/>
                <w:szCs w:val="16"/>
              </w:rPr>
            </w:pPr>
          </w:p>
          <w:p w14:paraId="4D72318D"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bCs/>
                <w:iCs/>
                <w:sz w:val="16"/>
                <w:szCs w:val="16"/>
              </w:rPr>
              <w:t xml:space="preserve">UWAGA - należy podać pełną liczbę miesięcy. Wartości ułamkowe będą przy ocenie zaokrąglane w dół – do pełnych miesięcy. Zamawiający zastrzega, że okres rękojmi musi być równy okresowi gwarancji. </w:t>
            </w:r>
            <w:r w:rsidRPr="00DC4D69">
              <w:rPr>
                <w:rFonts w:ascii="Century Gothic" w:hAnsi="Century Gothic" w:cstheme="minorHAnsi"/>
                <w:bCs/>
                <w:iCs/>
                <w:sz w:val="16"/>
                <w:szCs w:val="16"/>
              </w:rPr>
              <w:lastRenderedPageBreak/>
              <w:t>Zamawiający zastrzega, że górną granicą punktacji gwarancji będzie 5 lat.</w:t>
            </w:r>
          </w:p>
        </w:tc>
        <w:tc>
          <w:tcPr>
            <w:tcW w:w="1843" w:type="dxa"/>
            <w:tcBorders>
              <w:top w:val="single" w:sz="4" w:space="0" w:color="auto"/>
              <w:left w:val="single" w:sz="4" w:space="0" w:color="auto"/>
              <w:bottom w:val="single" w:sz="4" w:space="0" w:color="auto"/>
              <w:right w:val="single" w:sz="4" w:space="0" w:color="auto"/>
            </w:tcBorders>
          </w:tcPr>
          <w:p w14:paraId="30E3CE48"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lastRenderedPageBreak/>
              <w:t>&gt;= 24</w:t>
            </w:r>
          </w:p>
        </w:tc>
        <w:tc>
          <w:tcPr>
            <w:tcW w:w="4819" w:type="dxa"/>
            <w:tcBorders>
              <w:top w:val="single" w:sz="4" w:space="0" w:color="auto"/>
              <w:left w:val="single" w:sz="4" w:space="0" w:color="auto"/>
              <w:bottom w:val="single" w:sz="4" w:space="0" w:color="auto"/>
              <w:right w:val="single" w:sz="4" w:space="0" w:color="auto"/>
            </w:tcBorders>
          </w:tcPr>
          <w:p w14:paraId="2E6D74C0" w14:textId="77777777" w:rsidR="00DC4D69" w:rsidRPr="00DC4D69" w:rsidRDefault="00DC4D69" w:rsidP="00DC4D69">
            <w:pPr>
              <w:spacing w:line="288" w:lineRule="auto"/>
              <w:jc w:val="center"/>
              <w:rPr>
                <w:rFonts w:ascii="Century Gothic" w:eastAsia="Times New Roman" w:hAnsi="Century Gothic" w:cs="Arial"/>
                <w:b/>
                <w:bCs/>
                <w:sz w:val="16"/>
                <w:szCs w:val="16"/>
              </w:rPr>
            </w:pPr>
          </w:p>
        </w:tc>
        <w:tc>
          <w:tcPr>
            <w:tcW w:w="2976" w:type="dxa"/>
            <w:tcBorders>
              <w:top w:val="single" w:sz="4" w:space="0" w:color="auto"/>
              <w:left w:val="single" w:sz="4" w:space="0" w:color="auto"/>
              <w:bottom w:val="single" w:sz="4" w:space="0" w:color="auto"/>
              <w:right w:val="single" w:sz="4" w:space="0" w:color="auto"/>
            </w:tcBorders>
          </w:tcPr>
          <w:p w14:paraId="3824C65D" w14:textId="77777777" w:rsidR="00DC4D69" w:rsidRPr="00DC4D69" w:rsidRDefault="00DC4D69" w:rsidP="00DC4D69">
            <w:pPr>
              <w:spacing w:line="288" w:lineRule="auto"/>
              <w:jc w:val="center"/>
              <w:rPr>
                <w:rFonts w:ascii="Century Gothic" w:eastAsia="Times New Roman" w:hAnsi="Century Gothic" w:cs="Arial"/>
                <w:bCs/>
                <w:sz w:val="16"/>
                <w:szCs w:val="16"/>
              </w:rPr>
            </w:pPr>
            <w:r w:rsidRPr="00DC4D69">
              <w:rPr>
                <w:rFonts w:ascii="Century Gothic" w:eastAsia="Times New Roman" w:hAnsi="Century Gothic" w:cs="Arial"/>
                <w:bCs/>
                <w:sz w:val="16"/>
                <w:szCs w:val="16"/>
              </w:rPr>
              <w:t>najdłuższy okres – 10 pkt.,</w:t>
            </w:r>
          </w:p>
          <w:p w14:paraId="75DAA4BD" w14:textId="77777777" w:rsidR="00DC4D69" w:rsidRPr="00DC4D69" w:rsidRDefault="00DC4D69" w:rsidP="00DC4D69">
            <w:pPr>
              <w:spacing w:line="288" w:lineRule="auto"/>
              <w:jc w:val="center"/>
              <w:rPr>
                <w:rFonts w:ascii="Century Gothic" w:eastAsia="Times New Roman" w:hAnsi="Century Gothic" w:cs="Arial"/>
                <w:b/>
                <w:bCs/>
                <w:sz w:val="16"/>
                <w:szCs w:val="16"/>
              </w:rPr>
            </w:pPr>
            <w:r w:rsidRPr="00DC4D69">
              <w:rPr>
                <w:rFonts w:ascii="Century Gothic" w:eastAsia="Times New Roman" w:hAnsi="Century Gothic" w:cs="Arial"/>
                <w:bCs/>
                <w:sz w:val="16"/>
                <w:szCs w:val="16"/>
              </w:rPr>
              <w:t>inne – proporcjonalnie mniej (względem najkorzystniejszej oferty)</w:t>
            </w:r>
          </w:p>
        </w:tc>
      </w:tr>
      <w:tr w:rsidR="00DC4D69" w:rsidRPr="003B50CC" w14:paraId="27884ADF" w14:textId="77777777" w:rsidTr="00DC4D69">
        <w:tc>
          <w:tcPr>
            <w:tcW w:w="534" w:type="dxa"/>
            <w:tcBorders>
              <w:top w:val="single" w:sz="4" w:space="0" w:color="auto"/>
              <w:left w:val="single" w:sz="4" w:space="0" w:color="auto"/>
              <w:bottom w:val="single" w:sz="4" w:space="0" w:color="auto"/>
              <w:right w:val="single" w:sz="4" w:space="0" w:color="auto"/>
            </w:tcBorders>
          </w:tcPr>
          <w:p w14:paraId="6B2F9D33"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1CAE9E5F"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DC4D69">
              <w:rPr>
                <w:rFonts w:ascii="Century Gothic" w:hAnsi="Century Gothic" w:cstheme="minorHAnsi"/>
                <w:color w:val="FF0000"/>
                <w:sz w:val="16"/>
                <w:szCs w:val="16"/>
              </w:rPr>
              <w:t xml:space="preserve"> </w:t>
            </w:r>
            <w:r w:rsidRPr="00DC4D69">
              <w:rPr>
                <w:rFonts w:ascii="Century Gothic" w:hAnsi="Century Gothic" w:cstheme="minorHAnsi"/>
                <w:sz w:val="16"/>
                <w:szCs w:val="16"/>
              </w:rPr>
              <w:t>od dnia odbioru, podczas każdego, wykonywanego przeglądu</w:t>
            </w:r>
          </w:p>
        </w:tc>
        <w:tc>
          <w:tcPr>
            <w:tcW w:w="1843" w:type="dxa"/>
            <w:tcBorders>
              <w:top w:val="single" w:sz="4" w:space="0" w:color="auto"/>
              <w:left w:val="single" w:sz="4" w:space="0" w:color="auto"/>
              <w:bottom w:val="single" w:sz="4" w:space="0" w:color="auto"/>
              <w:right w:val="single" w:sz="4" w:space="0" w:color="auto"/>
            </w:tcBorders>
          </w:tcPr>
          <w:p w14:paraId="71FE6B44"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4865F7DA"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14:paraId="0AE2529F"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59AE06F9" w14:textId="77777777" w:rsidTr="00DC4D69">
        <w:tc>
          <w:tcPr>
            <w:tcW w:w="534" w:type="dxa"/>
            <w:tcBorders>
              <w:top w:val="single" w:sz="4" w:space="0" w:color="auto"/>
              <w:left w:val="single" w:sz="4" w:space="0" w:color="auto"/>
              <w:bottom w:val="single" w:sz="4" w:space="0" w:color="auto"/>
              <w:right w:val="single" w:sz="4" w:space="0" w:color="auto"/>
            </w:tcBorders>
          </w:tcPr>
          <w:p w14:paraId="32AD0DD3"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33F83610"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Liczba przeglądów okresowych niezbędnych do wykonywania po upływie gwarancji dla potwierdzenia bezpiecznej eksploatacji aparatu – podać, opisać zakres.</w:t>
            </w:r>
          </w:p>
          <w:p w14:paraId="543ED88E" w14:textId="77777777" w:rsidR="00DC4D69" w:rsidRPr="00DC4D69" w:rsidRDefault="00DC4D69" w:rsidP="00DC4D69">
            <w:pPr>
              <w:pStyle w:val="Standard"/>
              <w:snapToGrid w:val="0"/>
              <w:spacing w:line="288" w:lineRule="auto"/>
              <w:rPr>
                <w:rFonts w:ascii="Century Gothic" w:hAnsi="Century Gothic" w:cstheme="minorHAnsi"/>
                <w:sz w:val="16"/>
                <w:szCs w:val="16"/>
              </w:rPr>
            </w:pPr>
          </w:p>
          <w:p w14:paraId="0A06AA23" w14:textId="77777777" w:rsidR="00DC4D69" w:rsidRPr="00DC4D69" w:rsidRDefault="00DC4D69" w:rsidP="00DC4D69">
            <w:pPr>
              <w:pStyle w:val="Standard"/>
              <w:snapToGrid w:val="0"/>
              <w:spacing w:line="288" w:lineRule="auto"/>
              <w:rPr>
                <w:rFonts w:ascii="Century Gothic" w:hAnsi="Century Gothic" w:cstheme="minorHAnsi"/>
                <w:i/>
                <w:sz w:val="16"/>
                <w:szCs w:val="16"/>
              </w:rPr>
            </w:pPr>
            <w:r w:rsidRPr="00DC4D69">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843" w:type="dxa"/>
            <w:tcBorders>
              <w:top w:val="single" w:sz="4" w:space="0" w:color="auto"/>
              <w:left w:val="single" w:sz="4" w:space="0" w:color="auto"/>
              <w:bottom w:val="single" w:sz="4" w:space="0" w:color="auto"/>
              <w:right w:val="single" w:sz="4" w:space="0" w:color="auto"/>
            </w:tcBorders>
          </w:tcPr>
          <w:p w14:paraId="3CB9BF6E"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podać</w:t>
            </w:r>
          </w:p>
        </w:tc>
        <w:tc>
          <w:tcPr>
            <w:tcW w:w="4819" w:type="dxa"/>
            <w:tcBorders>
              <w:top w:val="single" w:sz="4" w:space="0" w:color="auto"/>
              <w:left w:val="single" w:sz="4" w:space="0" w:color="auto"/>
              <w:bottom w:val="single" w:sz="4" w:space="0" w:color="auto"/>
              <w:right w:val="single" w:sz="4" w:space="0" w:color="auto"/>
            </w:tcBorders>
          </w:tcPr>
          <w:p w14:paraId="3CF1BA13"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207C3FF3"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666D37E9" w14:textId="77777777" w:rsidTr="00DC4D69">
        <w:tc>
          <w:tcPr>
            <w:tcW w:w="534" w:type="dxa"/>
            <w:tcBorders>
              <w:top w:val="single" w:sz="4" w:space="0" w:color="auto"/>
              <w:left w:val="single" w:sz="4" w:space="0" w:color="auto"/>
              <w:bottom w:val="single" w:sz="4" w:space="0" w:color="auto"/>
              <w:right w:val="single" w:sz="4" w:space="0" w:color="auto"/>
            </w:tcBorders>
          </w:tcPr>
          <w:p w14:paraId="044E530E"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4BD4F655" w14:textId="17B28E06" w:rsidR="00DC4D69" w:rsidRPr="00DC4D69" w:rsidRDefault="00707A72" w:rsidP="00DC4D69">
            <w:pPr>
              <w:pStyle w:val="Standard"/>
              <w:snapToGrid w:val="0"/>
              <w:spacing w:line="288" w:lineRule="auto"/>
              <w:rPr>
                <w:rFonts w:ascii="Century Gothic" w:hAnsi="Century Gothic" w:cstheme="minorHAnsi"/>
                <w:sz w:val="16"/>
                <w:szCs w:val="16"/>
              </w:rPr>
            </w:pPr>
            <w:r w:rsidRPr="00707A72">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3" w:type="dxa"/>
            <w:tcBorders>
              <w:top w:val="single" w:sz="4" w:space="0" w:color="auto"/>
              <w:left w:val="single" w:sz="4" w:space="0" w:color="auto"/>
              <w:bottom w:val="single" w:sz="4" w:space="0" w:color="auto"/>
              <w:right w:val="single" w:sz="4" w:space="0" w:color="auto"/>
            </w:tcBorders>
          </w:tcPr>
          <w:p w14:paraId="43FB0833"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107666E5"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295614EB"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5218BE33" w14:textId="77777777" w:rsidTr="00DC4D69">
        <w:tc>
          <w:tcPr>
            <w:tcW w:w="534" w:type="dxa"/>
            <w:tcBorders>
              <w:top w:val="single" w:sz="4" w:space="0" w:color="auto"/>
              <w:left w:val="single" w:sz="4" w:space="0" w:color="auto"/>
              <w:bottom w:val="single" w:sz="4" w:space="0" w:color="auto"/>
              <w:right w:val="single" w:sz="4" w:space="0" w:color="auto"/>
            </w:tcBorders>
          </w:tcPr>
          <w:p w14:paraId="0706DCDC"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2D539706"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3" w:type="dxa"/>
            <w:tcBorders>
              <w:top w:val="single" w:sz="4" w:space="0" w:color="auto"/>
              <w:left w:val="single" w:sz="4" w:space="0" w:color="auto"/>
              <w:bottom w:val="single" w:sz="4" w:space="0" w:color="auto"/>
              <w:right w:val="single" w:sz="4" w:space="0" w:color="auto"/>
            </w:tcBorders>
          </w:tcPr>
          <w:p w14:paraId="7AD5965F"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6EF6A881"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07AB4F95"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524918AB" w14:textId="77777777" w:rsidTr="00DC4D69">
        <w:tc>
          <w:tcPr>
            <w:tcW w:w="534" w:type="dxa"/>
            <w:tcBorders>
              <w:top w:val="single" w:sz="4" w:space="0" w:color="auto"/>
              <w:left w:val="single" w:sz="4" w:space="0" w:color="auto"/>
              <w:bottom w:val="single" w:sz="4" w:space="0" w:color="auto"/>
              <w:right w:val="single" w:sz="4" w:space="0" w:color="auto"/>
            </w:tcBorders>
          </w:tcPr>
          <w:p w14:paraId="1A4597C7"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7ADC5A52"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Wymiana podzespołu na nowy – natychmiastowa lub co najwyżej po pierwszej nieskutecznej próbie jego naprawy</w:t>
            </w:r>
          </w:p>
        </w:tc>
        <w:tc>
          <w:tcPr>
            <w:tcW w:w="1843" w:type="dxa"/>
            <w:tcBorders>
              <w:top w:val="single" w:sz="4" w:space="0" w:color="auto"/>
              <w:left w:val="single" w:sz="4" w:space="0" w:color="auto"/>
              <w:bottom w:val="single" w:sz="4" w:space="0" w:color="auto"/>
              <w:right w:val="single" w:sz="4" w:space="0" w:color="auto"/>
            </w:tcBorders>
          </w:tcPr>
          <w:p w14:paraId="7282025C"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00A165F5"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4AD11616"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1DC7BDB8" w14:textId="77777777" w:rsidTr="00DC4D69">
        <w:tc>
          <w:tcPr>
            <w:tcW w:w="534" w:type="dxa"/>
            <w:tcBorders>
              <w:top w:val="single" w:sz="4" w:space="0" w:color="auto"/>
              <w:left w:val="single" w:sz="4" w:space="0" w:color="auto"/>
              <w:bottom w:val="single" w:sz="4" w:space="0" w:color="auto"/>
              <w:right w:val="single" w:sz="4" w:space="0" w:color="auto"/>
            </w:tcBorders>
          </w:tcPr>
          <w:p w14:paraId="594432C8"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285D1A9E"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 xml:space="preserve">Możliwość zgłoszeń 24 </w:t>
            </w:r>
            <w:proofErr w:type="spellStart"/>
            <w:r w:rsidRPr="00DC4D69">
              <w:rPr>
                <w:rFonts w:ascii="Century Gothic" w:hAnsi="Century Gothic" w:cstheme="minorHAnsi"/>
                <w:sz w:val="16"/>
                <w:szCs w:val="16"/>
              </w:rPr>
              <w:t>godz</w:t>
            </w:r>
            <w:proofErr w:type="spellEnd"/>
            <w:r w:rsidRPr="00DC4D69">
              <w:rPr>
                <w:rFonts w:ascii="Century Gothic" w:hAnsi="Century Gothic" w:cstheme="minorHAnsi"/>
                <w:sz w:val="16"/>
                <w:szCs w:val="16"/>
              </w:rPr>
              <w:t>/dobę, 365 dni/rok</w:t>
            </w:r>
          </w:p>
        </w:tc>
        <w:tc>
          <w:tcPr>
            <w:tcW w:w="1843" w:type="dxa"/>
            <w:tcBorders>
              <w:top w:val="single" w:sz="4" w:space="0" w:color="auto"/>
              <w:left w:val="single" w:sz="4" w:space="0" w:color="auto"/>
              <w:bottom w:val="single" w:sz="4" w:space="0" w:color="auto"/>
              <w:right w:val="single" w:sz="4" w:space="0" w:color="auto"/>
            </w:tcBorders>
          </w:tcPr>
          <w:p w14:paraId="16D2F1D3"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3593D7A3"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03C45399"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6A1D003F" w14:textId="77777777" w:rsidTr="00DC4D69">
        <w:tc>
          <w:tcPr>
            <w:tcW w:w="534" w:type="dxa"/>
            <w:tcBorders>
              <w:top w:val="single" w:sz="4" w:space="0" w:color="auto"/>
              <w:left w:val="single" w:sz="4" w:space="0" w:color="auto"/>
              <w:bottom w:val="single" w:sz="4" w:space="0" w:color="auto"/>
              <w:right w:val="single" w:sz="4" w:space="0" w:color="auto"/>
            </w:tcBorders>
          </w:tcPr>
          <w:p w14:paraId="12C60AF9"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529F9EBD"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Czas reakcji serwisu (przyjęte zgłoszenie – podjęta naprawa) 2 dni robocze.</w:t>
            </w:r>
          </w:p>
          <w:p w14:paraId="50999FE9"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3" w:type="dxa"/>
            <w:tcBorders>
              <w:top w:val="single" w:sz="4" w:space="0" w:color="auto"/>
              <w:left w:val="single" w:sz="4" w:space="0" w:color="auto"/>
              <w:bottom w:val="single" w:sz="4" w:space="0" w:color="auto"/>
              <w:right w:val="single" w:sz="4" w:space="0" w:color="auto"/>
            </w:tcBorders>
          </w:tcPr>
          <w:p w14:paraId="30989306"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684D1DCD"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717D2C65"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12291830" w14:textId="77777777" w:rsidTr="00DC4D69">
        <w:tc>
          <w:tcPr>
            <w:tcW w:w="534" w:type="dxa"/>
            <w:tcBorders>
              <w:top w:val="single" w:sz="4" w:space="0" w:color="auto"/>
              <w:left w:val="single" w:sz="4" w:space="0" w:color="auto"/>
              <w:bottom w:val="single" w:sz="4" w:space="0" w:color="auto"/>
              <w:right w:val="single" w:sz="4" w:space="0" w:color="auto"/>
            </w:tcBorders>
          </w:tcPr>
          <w:p w14:paraId="759F5DE8"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7DE27222"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14:paraId="73416F12" w14:textId="77777777" w:rsidR="00DC4D69" w:rsidRPr="00DC4D69" w:rsidRDefault="00DC4D69" w:rsidP="00DC4D69">
            <w:pPr>
              <w:pStyle w:val="Standard"/>
              <w:snapToGrid w:val="0"/>
              <w:spacing w:line="288" w:lineRule="auto"/>
              <w:rPr>
                <w:rFonts w:ascii="Century Gothic" w:hAnsi="Century Gothic" w:cstheme="minorHAnsi"/>
                <w:sz w:val="16"/>
                <w:szCs w:val="16"/>
              </w:rPr>
            </w:pPr>
          </w:p>
          <w:p w14:paraId="304EF4F5" w14:textId="77777777" w:rsidR="00DC4D69" w:rsidRPr="00DC4D69" w:rsidRDefault="00DC4D69" w:rsidP="00DC4D69">
            <w:pPr>
              <w:pStyle w:val="Standard"/>
              <w:snapToGrid w:val="0"/>
              <w:spacing w:line="288" w:lineRule="auto"/>
              <w:rPr>
                <w:rFonts w:ascii="Century Gothic" w:hAnsi="Century Gothic" w:cstheme="minorHAnsi"/>
                <w:i/>
                <w:sz w:val="16"/>
                <w:szCs w:val="16"/>
              </w:rPr>
            </w:pPr>
            <w:r w:rsidRPr="00DC4D69">
              <w:rPr>
                <w:rFonts w:ascii="Century Gothic" w:hAnsi="Century Gothic" w:cstheme="minorHAnsi"/>
                <w:i/>
                <w:sz w:val="16"/>
                <w:szCs w:val="16"/>
              </w:rPr>
              <w:t>uwaga (1) - Należy przewidzieć szkolenia w wymiarze do 2 dni roboczych oraz zapewnić możliwość stałego wsparcia aplikacyjnego</w:t>
            </w:r>
          </w:p>
          <w:p w14:paraId="601838BD" w14:textId="77777777" w:rsidR="00DC4D69" w:rsidRPr="00DC4D69" w:rsidRDefault="00DC4D69" w:rsidP="00DC4D69">
            <w:pPr>
              <w:pStyle w:val="Standard"/>
              <w:snapToGrid w:val="0"/>
              <w:spacing w:line="288" w:lineRule="auto"/>
              <w:rPr>
                <w:rFonts w:ascii="Century Gothic" w:hAnsi="Century Gothic" w:cstheme="minorHAnsi"/>
                <w:i/>
                <w:sz w:val="16"/>
                <w:szCs w:val="16"/>
              </w:rPr>
            </w:pPr>
          </w:p>
          <w:p w14:paraId="1C458D6B" w14:textId="77777777" w:rsidR="00DC4D69" w:rsidRPr="00DC4D69" w:rsidRDefault="00DC4D69" w:rsidP="00DC4D69">
            <w:pPr>
              <w:pStyle w:val="Akapitzlist"/>
              <w:spacing w:after="0" w:line="288" w:lineRule="auto"/>
              <w:ind w:left="0"/>
              <w:rPr>
                <w:rFonts w:ascii="Century Gothic" w:eastAsia="Times New Roman" w:hAnsi="Century Gothic" w:cstheme="minorHAnsi"/>
                <w:sz w:val="16"/>
                <w:szCs w:val="16"/>
              </w:rPr>
            </w:pPr>
            <w:r w:rsidRPr="00DC4D69">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3" w:type="dxa"/>
            <w:tcBorders>
              <w:top w:val="single" w:sz="4" w:space="0" w:color="auto"/>
              <w:left w:val="single" w:sz="4" w:space="0" w:color="auto"/>
              <w:bottom w:val="single" w:sz="4" w:space="0" w:color="auto"/>
              <w:right w:val="single" w:sz="4" w:space="0" w:color="auto"/>
            </w:tcBorders>
          </w:tcPr>
          <w:p w14:paraId="334F04C8"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79774E5C"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71061A3A"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09299DCC" w14:textId="77777777" w:rsidTr="00DC4D69">
        <w:tc>
          <w:tcPr>
            <w:tcW w:w="534" w:type="dxa"/>
            <w:tcBorders>
              <w:top w:val="single" w:sz="4" w:space="0" w:color="auto"/>
              <w:left w:val="single" w:sz="4" w:space="0" w:color="auto"/>
              <w:bottom w:val="single" w:sz="4" w:space="0" w:color="auto"/>
              <w:right w:val="single" w:sz="4" w:space="0" w:color="auto"/>
            </w:tcBorders>
          </w:tcPr>
          <w:p w14:paraId="4D919951"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65B394E3"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3563A7D9" w14:textId="77777777" w:rsidR="00DC4D69" w:rsidRPr="00DC4D69" w:rsidRDefault="00DC4D69" w:rsidP="00DC4D69">
            <w:pPr>
              <w:pStyle w:val="Standard"/>
              <w:snapToGrid w:val="0"/>
              <w:spacing w:line="288" w:lineRule="auto"/>
              <w:rPr>
                <w:rFonts w:ascii="Century Gothic" w:hAnsi="Century Gothic" w:cstheme="minorHAnsi"/>
                <w:sz w:val="16"/>
                <w:szCs w:val="16"/>
              </w:rPr>
            </w:pPr>
          </w:p>
          <w:p w14:paraId="4B2B1270" w14:textId="77777777" w:rsidR="00DC4D69" w:rsidRPr="00DC4D69" w:rsidRDefault="00DC4D69" w:rsidP="00DC4D69">
            <w:pPr>
              <w:pStyle w:val="Standard"/>
              <w:snapToGrid w:val="0"/>
              <w:spacing w:line="288" w:lineRule="auto"/>
              <w:rPr>
                <w:rFonts w:ascii="Century Gothic" w:hAnsi="Century Gothic" w:cstheme="minorHAnsi"/>
                <w:i/>
                <w:sz w:val="16"/>
                <w:szCs w:val="16"/>
              </w:rPr>
            </w:pPr>
            <w:r w:rsidRPr="00DC4D69">
              <w:rPr>
                <w:rFonts w:ascii="Century Gothic" w:hAnsi="Century Gothic" w:cstheme="minorHAnsi"/>
                <w:i/>
                <w:sz w:val="16"/>
                <w:szCs w:val="16"/>
              </w:rPr>
              <w:lastRenderedPageBreak/>
              <w:t>uwaga (1) - Należy przewidzieć szkolenia w wymiarze do 2 dni roboczych oraz zapewnić możliwość stałego wsparcia aplikacyjnego</w:t>
            </w:r>
          </w:p>
          <w:p w14:paraId="4E6F2E06" w14:textId="77777777" w:rsidR="00DC4D69" w:rsidRPr="00DC4D69" w:rsidRDefault="00DC4D69" w:rsidP="00DC4D69">
            <w:pPr>
              <w:pStyle w:val="Standard"/>
              <w:snapToGrid w:val="0"/>
              <w:spacing w:line="288" w:lineRule="auto"/>
              <w:rPr>
                <w:rFonts w:ascii="Century Gothic" w:hAnsi="Century Gothic" w:cstheme="minorHAnsi"/>
                <w:i/>
                <w:sz w:val="16"/>
                <w:szCs w:val="16"/>
              </w:rPr>
            </w:pPr>
          </w:p>
          <w:p w14:paraId="1A458622" w14:textId="77777777" w:rsidR="00DC4D69" w:rsidRPr="00DC4D69" w:rsidRDefault="00DC4D69" w:rsidP="00DC4D69">
            <w:pPr>
              <w:pStyle w:val="Standard"/>
              <w:snapToGrid w:val="0"/>
              <w:spacing w:line="288" w:lineRule="auto"/>
              <w:rPr>
                <w:rFonts w:ascii="Century Gothic" w:hAnsi="Century Gothic" w:cstheme="minorHAnsi"/>
                <w:i/>
                <w:sz w:val="16"/>
                <w:szCs w:val="16"/>
              </w:rPr>
            </w:pPr>
            <w:r w:rsidRPr="00DC4D69">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14:paraId="783773AE" w14:textId="77777777" w:rsidR="00DC4D69" w:rsidRPr="00DC4D69" w:rsidRDefault="00DC4D69" w:rsidP="00DC4D69">
            <w:pPr>
              <w:pStyle w:val="Standard"/>
              <w:snapToGrid w:val="0"/>
              <w:spacing w:line="288" w:lineRule="auto"/>
              <w:rPr>
                <w:rFonts w:ascii="Century Gothic" w:hAnsi="Century Gothic" w:cstheme="minorHAnsi"/>
                <w:i/>
                <w:sz w:val="16"/>
                <w:szCs w:val="16"/>
              </w:rPr>
            </w:pPr>
          </w:p>
          <w:p w14:paraId="025DD64C"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3" w:type="dxa"/>
            <w:tcBorders>
              <w:top w:val="single" w:sz="4" w:space="0" w:color="auto"/>
              <w:left w:val="single" w:sz="4" w:space="0" w:color="auto"/>
              <w:bottom w:val="single" w:sz="4" w:space="0" w:color="auto"/>
              <w:right w:val="single" w:sz="4" w:space="0" w:color="auto"/>
            </w:tcBorders>
          </w:tcPr>
          <w:p w14:paraId="64F2CD4A"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lastRenderedPageBreak/>
              <w:t>tak</w:t>
            </w:r>
          </w:p>
          <w:p w14:paraId="51BA8C1E"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p>
        </w:tc>
        <w:tc>
          <w:tcPr>
            <w:tcW w:w="4819" w:type="dxa"/>
            <w:tcBorders>
              <w:top w:val="single" w:sz="4" w:space="0" w:color="auto"/>
              <w:left w:val="single" w:sz="4" w:space="0" w:color="auto"/>
              <w:bottom w:val="single" w:sz="4" w:space="0" w:color="auto"/>
              <w:right w:val="single" w:sz="4" w:space="0" w:color="auto"/>
            </w:tcBorders>
          </w:tcPr>
          <w:p w14:paraId="7C9E2B85"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5AF8783D"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49339E2E" w14:textId="77777777" w:rsidTr="00DC4D69">
        <w:tc>
          <w:tcPr>
            <w:tcW w:w="534" w:type="dxa"/>
            <w:tcBorders>
              <w:top w:val="single" w:sz="4" w:space="0" w:color="auto"/>
              <w:left w:val="single" w:sz="4" w:space="0" w:color="auto"/>
              <w:bottom w:val="single" w:sz="4" w:space="0" w:color="auto"/>
              <w:right w:val="single" w:sz="4" w:space="0" w:color="auto"/>
            </w:tcBorders>
          </w:tcPr>
          <w:p w14:paraId="1C974239"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71D45780" w14:textId="77777777" w:rsidR="00DC4D69" w:rsidRPr="00DC4D69" w:rsidRDefault="00DC4D69" w:rsidP="00DC4D69">
            <w:pPr>
              <w:pStyle w:val="Standard"/>
              <w:snapToGrid w:val="0"/>
              <w:spacing w:line="288" w:lineRule="auto"/>
              <w:rPr>
                <w:rFonts w:ascii="Century Gothic" w:hAnsi="Century Gothic" w:cstheme="minorHAnsi"/>
                <w:b/>
                <w:sz w:val="16"/>
                <w:szCs w:val="16"/>
              </w:rPr>
            </w:pPr>
            <w:r w:rsidRPr="00DC4D69">
              <w:rPr>
                <w:rFonts w:ascii="Century Gothic" w:hAnsi="Century Gothic" w:cstheme="minorHAnsi"/>
                <w:sz w:val="16"/>
                <w:szCs w:val="16"/>
              </w:rPr>
              <w:t>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843" w:type="dxa"/>
            <w:tcBorders>
              <w:top w:val="single" w:sz="4" w:space="0" w:color="auto"/>
              <w:left w:val="single" w:sz="4" w:space="0" w:color="auto"/>
              <w:bottom w:val="single" w:sz="4" w:space="0" w:color="auto"/>
              <w:right w:val="single" w:sz="4" w:space="0" w:color="auto"/>
            </w:tcBorders>
          </w:tcPr>
          <w:p w14:paraId="7A2DBEAF"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47F94313"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408F015A"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3FD1F49B" w14:textId="77777777" w:rsidTr="00DC4D69">
        <w:tc>
          <w:tcPr>
            <w:tcW w:w="534" w:type="dxa"/>
            <w:tcBorders>
              <w:top w:val="single" w:sz="4" w:space="0" w:color="auto"/>
              <w:left w:val="single" w:sz="4" w:space="0" w:color="auto"/>
              <w:bottom w:val="single" w:sz="4" w:space="0" w:color="auto"/>
              <w:right w:val="single" w:sz="4" w:space="0" w:color="auto"/>
            </w:tcBorders>
          </w:tcPr>
          <w:p w14:paraId="5C48254C"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56CBC59A"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Dokumentacja serwisowa i/lub oprogramowanie serwisowe na potrzeby Zamawiającego (dokumentacja zapewni co najmniej pełną diagnostykę urządzenia, wykonywanie drobnych napraw, regulacji, kalibracji, etc.)</w:t>
            </w:r>
          </w:p>
        </w:tc>
        <w:tc>
          <w:tcPr>
            <w:tcW w:w="1843" w:type="dxa"/>
            <w:tcBorders>
              <w:top w:val="single" w:sz="4" w:space="0" w:color="auto"/>
              <w:left w:val="single" w:sz="4" w:space="0" w:color="auto"/>
              <w:bottom w:val="single" w:sz="4" w:space="0" w:color="auto"/>
              <w:right w:val="single" w:sz="4" w:space="0" w:color="auto"/>
            </w:tcBorders>
          </w:tcPr>
          <w:p w14:paraId="62687B7C"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14:paraId="5D563C61"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50574A80"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r w:rsidR="00DC4D69" w:rsidRPr="003B50CC" w14:paraId="5BE67A32" w14:textId="77777777" w:rsidTr="00DC4D69">
        <w:tc>
          <w:tcPr>
            <w:tcW w:w="534" w:type="dxa"/>
            <w:tcBorders>
              <w:top w:val="single" w:sz="4" w:space="0" w:color="auto"/>
              <w:left w:val="single" w:sz="4" w:space="0" w:color="auto"/>
              <w:bottom w:val="single" w:sz="4" w:space="0" w:color="auto"/>
              <w:right w:val="single" w:sz="4" w:space="0" w:color="auto"/>
            </w:tcBorders>
          </w:tcPr>
          <w:p w14:paraId="74A1AB8F" w14:textId="77777777" w:rsidR="00DC4D69" w:rsidRPr="003B50CC" w:rsidRDefault="00DC4D69" w:rsidP="00C87AED">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14:paraId="793F7133" w14:textId="77777777" w:rsidR="00DC4D69" w:rsidRPr="00DC4D69" w:rsidRDefault="00DC4D69" w:rsidP="00DC4D69">
            <w:pPr>
              <w:pStyle w:val="Standard"/>
              <w:snapToGrid w:val="0"/>
              <w:spacing w:line="288" w:lineRule="auto"/>
              <w:rPr>
                <w:rFonts w:ascii="Century Gothic" w:hAnsi="Century Gothic" w:cstheme="minorHAnsi"/>
                <w:sz w:val="16"/>
                <w:szCs w:val="16"/>
              </w:rPr>
            </w:pPr>
            <w:r w:rsidRPr="00DC4D69">
              <w:rPr>
                <w:rFonts w:ascii="Century Gothic" w:hAnsi="Century Gothic" w:cstheme="minorHAnsi"/>
                <w:sz w:val="16"/>
                <w:szCs w:val="16"/>
              </w:rPr>
              <w:t xml:space="preserve">Instrukcja obsługi w języku polskim w formie </w:t>
            </w:r>
            <w:r w:rsidRPr="00DC4D69">
              <w:rPr>
                <w:rFonts w:ascii="Century Gothic" w:hAnsi="Century Gothic" w:cstheme="minorHAnsi"/>
                <w:sz w:val="16"/>
                <w:szCs w:val="16"/>
              </w:rPr>
              <w:lastRenderedPageBreak/>
              <w:t>elektronicznej i drukowanej.</w:t>
            </w:r>
          </w:p>
        </w:tc>
        <w:tc>
          <w:tcPr>
            <w:tcW w:w="1843" w:type="dxa"/>
            <w:tcBorders>
              <w:top w:val="single" w:sz="4" w:space="0" w:color="auto"/>
              <w:left w:val="single" w:sz="4" w:space="0" w:color="auto"/>
              <w:bottom w:val="single" w:sz="4" w:space="0" w:color="auto"/>
              <w:right w:val="single" w:sz="4" w:space="0" w:color="auto"/>
            </w:tcBorders>
          </w:tcPr>
          <w:p w14:paraId="11E6B33B" w14:textId="77777777" w:rsidR="00DC4D69" w:rsidRPr="00DC4D69" w:rsidRDefault="00DC4D69" w:rsidP="00DC4D69">
            <w:pPr>
              <w:pStyle w:val="Standard"/>
              <w:snapToGrid w:val="0"/>
              <w:spacing w:line="288" w:lineRule="auto"/>
              <w:jc w:val="center"/>
              <w:rPr>
                <w:rFonts w:ascii="Century Gothic" w:hAnsi="Century Gothic" w:cstheme="minorHAnsi"/>
                <w:sz w:val="16"/>
                <w:szCs w:val="16"/>
              </w:rPr>
            </w:pPr>
            <w:r w:rsidRPr="00DC4D69">
              <w:rPr>
                <w:rFonts w:ascii="Century Gothic" w:hAnsi="Century Gothic" w:cstheme="minorHAnsi"/>
                <w:sz w:val="16"/>
                <w:szCs w:val="16"/>
              </w:rPr>
              <w:lastRenderedPageBreak/>
              <w:t>tak</w:t>
            </w:r>
          </w:p>
        </w:tc>
        <w:tc>
          <w:tcPr>
            <w:tcW w:w="4819" w:type="dxa"/>
            <w:tcBorders>
              <w:top w:val="single" w:sz="4" w:space="0" w:color="auto"/>
              <w:left w:val="single" w:sz="4" w:space="0" w:color="auto"/>
              <w:bottom w:val="single" w:sz="4" w:space="0" w:color="auto"/>
              <w:right w:val="single" w:sz="4" w:space="0" w:color="auto"/>
            </w:tcBorders>
          </w:tcPr>
          <w:p w14:paraId="5A76A218" w14:textId="77777777" w:rsidR="00DC4D69" w:rsidRPr="00DC4D69" w:rsidRDefault="00DC4D69" w:rsidP="00DC4D69">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14:paraId="14354D63" w14:textId="77777777" w:rsidR="00DC4D69" w:rsidRPr="00DC4D69" w:rsidRDefault="00DC4D69" w:rsidP="00DC4D69">
            <w:pPr>
              <w:pStyle w:val="Zawartotabeli"/>
              <w:snapToGrid w:val="0"/>
              <w:spacing w:line="288" w:lineRule="auto"/>
              <w:jc w:val="center"/>
              <w:rPr>
                <w:rFonts w:ascii="Century Gothic" w:hAnsi="Century Gothic" w:cs="Arial"/>
                <w:sz w:val="16"/>
                <w:szCs w:val="16"/>
              </w:rPr>
            </w:pPr>
          </w:p>
        </w:tc>
      </w:tr>
    </w:tbl>
    <w:p w14:paraId="33EAC8F3" w14:textId="77777777" w:rsidR="003E0817" w:rsidRPr="003E0817" w:rsidRDefault="003E0817" w:rsidP="003E0817">
      <w:pPr>
        <w:widowControl w:val="0"/>
        <w:suppressAutoHyphens/>
        <w:spacing w:before="360" w:after="240" w:line="240" w:lineRule="auto"/>
        <w:jc w:val="center"/>
        <w:rPr>
          <w:rFonts w:ascii="Arial" w:eastAsia="Andale Sans UI" w:hAnsi="Arial" w:cs="Arial"/>
          <w:kern w:val="2"/>
          <w:lang w:eastAsia="pl-PL"/>
        </w:rPr>
      </w:pPr>
    </w:p>
    <w:p w14:paraId="512BE49F" w14:textId="77777777" w:rsidR="00AC2198" w:rsidRPr="00AC2198" w:rsidRDefault="00AC2198" w:rsidP="00F44CB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1BEE9981" w14:textId="77777777" w:rsidR="00F44CB3" w:rsidRPr="00AC2198" w:rsidRDefault="00F44CB3" w:rsidP="00F44CB3">
      <w:pPr>
        <w:spacing w:after="0" w:line="288" w:lineRule="auto"/>
        <w:jc w:val="both"/>
        <w:rPr>
          <w:rFonts w:ascii="Times New Roman" w:hAnsi="Times New Roman" w:cs="Times New Roman"/>
          <w:b/>
          <w:color w:val="000000" w:themeColor="text1"/>
          <w:sz w:val="20"/>
          <w:szCs w:val="20"/>
        </w:rPr>
      </w:pPr>
    </w:p>
    <w:bookmarkEnd w:id="0"/>
    <w:p w14:paraId="2B83B95D" w14:textId="77777777"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98EAB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379A2A" w14:textId="77777777" w:rsidR="00450419" w:rsidRDefault="00450419" w:rsidP="005A1349">
      <w:pPr>
        <w:spacing w:after="0" w:line="240" w:lineRule="auto"/>
      </w:pPr>
      <w:r>
        <w:separator/>
      </w:r>
    </w:p>
  </w:endnote>
  <w:endnote w:type="continuationSeparator" w:id="0">
    <w:p w14:paraId="4BD1EECD" w14:textId="77777777" w:rsidR="00450419" w:rsidRDefault="00450419"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14:paraId="22A53BB6" w14:textId="284A210E" w:rsidR="00776089" w:rsidRDefault="00776089">
        <w:pPr>
          <w:pStyle w:val="Stopka"/>
        </w:pPr>
        <w:r>
          <w:fldChar w:fldCharType="begin"/>
        </w:r>
        <w:r>
          <w:instrText>PAGE   \* MERGEFORMAT</w:instrText>
        </w:r>
        <w:r>
          <w:fldChar w:fldCharType="separate"/>
        </w:r>
        <w:r w:rsidR="00707A72">
          <w:rPr>
            <w:noProof/>
          </w:rPr>
          <w:t>8</w:t>
        </w:r>
        <w:r>
          <w:fldChar w:fldCharType="end"/>
        </w:r>
      </w:p>
    </w:sdtContent>
  </w:sdt>
  <w:p w14:paraId="37F08418" w14:textId="77777777"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9B8A23" w14:textId="77777777" w:rsidR="00450419" w:rsidRDefault="00450419" w:rsidP="005A1349">
      <w:pPr>
        <w:spacing w:after="0" w:line="240" w:lineRule="auto"/>
      </w:pPr>
      <w:r>
        <w:separator/>
      </w:r>
    </w:p>
  </w:footnote>
  <w:footnote w:type="continuationSeparator" w:id="0">
    <w:p w14:paraId="13796667" w14:textId="77777777" w:rsidR="00450419" w:rsidRDefault="00450419"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9E4B97" w14:textId="77777777"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4F4500FC" wp14:editId="25439B37">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14:paraId="09C6A744" w14:textId="77777777"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14:paraId="250B9327" w14:textId="77777777"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14:paraId="48190287" w14:textId="77777777"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14:paraId="0282DA33" w14:textId="77777777" w:rsidR="003E0817" w:rsidRDefault="009D7CC8"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 xml:space="preserve">Część </w:t>
    </w:r>
    <w:r w:rsidR="00DC4D69">
      <w:rPr>
        <w:rFonts w:ascii="Garamond" w:eastAsia="Times New Roman" w:hAnsi="Garamond" w:cs="Times New Roman"/>
      </w:rPr>
      <w:t>10</w:t>
    </w:r>
  </w:p>
  <w:p w14:paraId="70F9923E" w14:textId="77777777"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6078"/>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3027"/>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6F"/>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73071"/>
    <w:rsid w:val="002741FC"/>
    <w:rsid w:val="0028362C"/>
    <w:rsid w:val="00285B90"/>
    <w:rsid w:val="002929C2"/>
    <w:rsid w:val="00295AB4"/>
    <w:rsid w:val="002A060B"/>
    <w:rsid w:val="002A3E95"/>
    <w:rsid w:val="002A4BDF"/>
    <w:rsid w:val="002A5F51"/>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50CC"/>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419"/>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4A69"/>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07A72"/>
    <w:rsid w:val="0071277A"/>
    <w:rsid w:val="00712789"/>
    <w:rsid w:val="0071525D"/>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08E2"/>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D7CC8"/>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0676"/>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87AED"/>
    <w:rsid w:val="00C90804"/>
    <w:rsid w:val="00C93B26"/>
    <w:rsid w:val="00C948C8"/>
    <w:rsid w:val="00C94BE5"/>
    <w:rsid w:val="00CA1E07"/>
    <w:rsid w:val="00CA3A39"/>
    <w:rsid w:val="00CB3C29"/>
    <w:rsid w:val="00CB4E4C"/>
    <w:rsid w:val="00CB4F82"/>
    <w:rsid w:val="00CB717D"/>
    <w:rsid w:val="00CC0443"/>
    <w:rsid w:val="00CC0F03"/>
    <w:rsid w:val="00CC7128"/>
    <w:rsid w:val="00CD018B"/>
    <w:rsid w:val="00CD0DB0"/>
    <w:rsid w:val="00CD6938"/>
    <w:rsid w:val="00CE14FB"/>
    <w:rsid w:val="00CE4564"/>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4D6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5043"/>
    <w:rsid w:val="00EA7C0B"/>
    <w:rsid w:val="00EB18F4"/>
    <w:rsid w:val="00EB34D0"/>
    <w:rsid w:val="00EB3947"/>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03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AB8667-2054-4B9D-A760-730B6913CD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1280</Words>
  <Characters>7686</Characters>
  <Application>Microsoft Office Word</Application>
  <DocSecurity>0</DocSecurity>
  <Lines>64</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2019-11-14T09:00:00Z</dcterms:created>
  <dcterms:modified xsi:type="dcterms:W3CDTF">2019-11-22T08:36:00Z</dcterms:modified>
</cp:coreProperties>
</file>