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106" w:rsidRDefault="008A7106" w:rsidP="00431206">
      <w:pPr>
        <w:pStyle w:val="Tytu"/>
        <w:spacing w:line="288" w:lineRule="auto"/>
        <w:rPr>
          <w:rFonts w:ascii="Century Gothic" w:hAnsi="Century Gothic"/>
          <w:sz w:val="20"/>
          <w:szCs w:val="20"/>
        </w:rPr>
      </w:pPr>
    </w:p>
    <w:p w:rsidR="00431206" w:rsidRDefault="00431206" w:rsidP="00431206">
      <w:pPr>
        <w:pStyle w:val="Tytu"/>
        <w:spacing w:line="288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OPIS PRZEDMIOTU ZAMÓWIENIA</w:t>
      </w:r>
    </w:p>
    <w:p w:rsidR="00431206" w:rsidRDefault="00431206" w:rsidP="00431206">
      <w:pPr>
        <w:spacing w:before="100" w:beforeAutospacing="1" w:after="100" w:afterAutospacing="1" w:line="288" w:lineRule="auto"/>
        <w:jc w:val="center"/>
        <w:rPr>
          <w:rFonts w:ascii="Century Gothic" w:hAnsi="Century Gothic"/>
          <w:b/>
          <w:u w:val="single"/>
        </w:rPr>
      </w:pPr>
      <w:r>
        <w:rPr>
          <w:rFonts w:ascii="Century Gothic" w:hAnsi="Century Gothic"/>
          <w:b/>
          <w:u w:val="single"/>
        </w:rPr>
        <w:t>Mikroskop Operacyjny</w:t>
      </w:r>
    </w:p>
    <w:p w:rsidR="00431206" w:rsidRDefault="00431206" w:rsidP="008A7106">
      <w:pPr>
        <w:pStyle w:val="Standard"/>
        <w:tabs>
          <w:tab w:val="center" w:pos="7002"/>
        </w:tabs>
        <w:spacing w:line="288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Uwagi i objaśnienia:</w:t>
      </w:r>
      <w:r w:rsidR="008A7106">
        <w:rPr>
          <w:rFonts w:ascii="Century Gothic" w:hAnsi="Century Gothic"/>
          <w:sz w:val="18"/>
          <w:szCs w:val="18"/>
        </w:rPr>
        <w:tab/>
      </w:r>
    </w:p>
    <w:p w:rsidR="00431206" w:rsidRDefault="00431206" w:rsidP="00431206">
      <w:pPr>
        <w:pStyle w:val="Standard"/>
        <w:spacing w:line="288" w:lineRule="auto"/>
        <w:rPr>
          <w:rFonts w:ascii="Century Gothic" w:hAnsi="Century Gothic"/>
          <w:sz w:val="18"/>
          <w:szCs w:val="18"/>
        </w:rPr>
      </w:pPr>
    </w:p>
    <w:p w:rsidR="00431206" w:rsidRDefault="00431206" w:rsidP="00431206">
      <w:pPr>
        <w:pStyle w:val="Standard"/>
        <w:numPr>
          <w:ilvl w:val="0"/>
          <w:numId w:val="44"/>
        </w:numPr>
        <w:spacing w:line="288" w:lineRule="auto"/>
        <w:jc w:val="both"/>
        <w:textAlignment w:val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Parametry określone jako „tak” są parametrami granicznymi. Udzielenie odpowiedzi „nie” lub innej nie stanowiącej jednoznacznego potwierdzenia spełniania warunku będzie skutkowało odrzuceniem oferty.</w:t>
      </w:r>
    </w:p>
    <w:p w:rsidR="00431206" w:rsidRDefault="00431206" w:rsidP="00431206">
      <w:pPr>
        <w:pStyle w:val="Standard"/>
        <w:numPr>
          <w:ilvl w:val="0"/>
          <w:numId w:val="44"/>
        </w:numPr>
        <w:spacing w:line="288" w:lineRule="auto"/>
        <w:jc w:val="both"/>
        <w:textAlignment w:val="auto"/>
        <w:rPr>
          <w:rFonts w:ascii="Century Gothic" w:hAnsi="Century Gothic"/>
          <w:sz w:val="18"/>
          <w:szCs w:val="18"/>
          <w:lang w:val="en-US"/>
        </w:rPr>
      </w:pPr>
      <w:r>
        <w:rPr>
          <w:rFonts w:ascii="Century Gothic" w:hAnsi="Century Gothic"/>
          <w:sz w:val="18"/>
          <w:szCs w:val="18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:rsidR="00431206" w:rsidRDefault="00431206" w:rsidP="00431206">
      <w:pPr>
        <w:pStyle w:val="Standard"/>
        <w:numPr>
          <w:ilvl w:val="0"/>
          <w:numId w:val="44"/>
        </w:numPr>
        <w:spacing w:line="288" w:lineRule="auto"/>
        <w:jc w:val="both"/>
        <w:textAlignment w:val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Wykonawca zobowiązany jest do podania parametrów w jednostkach wskazanych w niniejszym opisie.</w:t>
      </w:r>
    </w:p>
    <w:p w:rsidR="00431206" w:rsidRDefault="00431206" w:rsidP="00431206">
      <w:pPr>
        <w:pStyle w:val="Standard"/>
        <w:numPr>
          <w:ilvl w:val="0"/>
          <w:numId w:val="44"/>
        </w:numPr>
        <w:spacing w:line="288" w:lineRule="auto"/>
        <w:jc w:val="both"/>
        <w:textAlignment w:val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Wykonawca gwarantuje niniejszym, że sprzęt jest fabrycznie nowy (rok produkcji: nie wcześniej niż 2018), nieużywany, kompletny i do jego uruchomienia oraz stosowania zgodnie z przeznaczeniem nie jest konieczny zakup dodatkowych elementów i akcesoriów. Żaden aparat ani jego część składowa, wyposażenie, etc. nie jest sprzętem </w:t>
      </w:r>
      <w:proofErr w:type="spellStart"/>
      <w:r>
        <w:rPr>
          <w:rFonts w:ascii="Century Gothic" w:hAnsi="Century Gothic"/>
          <w:sz w:val="18"/>
          <w:szCs w:val="18"/>
        </w:rPr>
        <w:t>rekondycjonowanym</w:t>
      </w:r>
      <w:proofErr w:type="spellEnd"/>
      <w:r>
        <w:rPr>
          <w:rFonts w:ascii="Century Gothic" w:hAnsi="Century Gothic"/>
          <w:sz w:val="18"/>
          <w:szCs w:val="18"/>
        </w:rPr>
        <w:t>, powystawowym i nie był wykorzystywany wcześniej przez innego użytkownika.</w:t>
      </w:r>
    </w:p>
    <w:p w:rsidR="00431206" w:rsidRDefault="00431206" w:rsidP="00431206">
      <w:pPr>
        <w:pStyle w:val="Standard"/>
        <w:spacing w:line="288" w:lineRule="auto"/>
        <w:rPr>
          <w:rFonts w:ascii="Century Gothic" w:hAnsi="Century Gothic"/>
          <w:sz w:val="20"/>
          <w:szCs w:val="20"/>
        </w:rPr>
      </w:pPr>
    </w:p>
    <w:p w:rsidR="008A4119" w:rsidRDefault="008A4119" w:rsidP="00431206">
      <w:pPr>
        <w:pStyle w:val="Standard"/>
        <w:spacing w:line="288" w:lineRule="auto"/>
        <w:rPr>
          <w:rFonts w:ascii="Century Gothic" w:hAnsi="Century Gothic"/>
          <w:sz w:val="20"/>
          <w:szCs w:val="20"/>
        </w:rPr>
      </w:pPr>
    </w:p>
    <w:p w:rsidR="00431206" w:rsidRDefault="00431206" w:rsidP="00431206">
      <w:pPr>
        <w:pStyle w:val="Standard"/>
        <w:spacing w:line="288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Nazwa i typ: .............................................................</w:t>
      </w:r>
    </w:p>
    <w:p w:rsidR="00431206" w:rsidRDefault="00431206" w:rsidP="00431206">
      <w:pPr>
        <w:pStyle w:val="Standard"/>
        <w:spacing w:line="288" w:lineRule="auto"/>
        <w:rPr>
          <w:rFonts w:ascii="Century Gothic" w:hAnsi="Century Gothic"/>
          <w:sz w:val="20"/>
          <w:szCs w:val="20"/>
        </w:rPr>
      </w:pPr>
    </w:p>
    <w:p w:rsidR="00431206" w:rsidRDefault="00431206" w:rsidP="00431206">
      <w:pPr>
        <w:pStyle w:val="Standard"/>
        <w:spacing w:line="288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Producent / kraj produkcji: ........................................................</w:t>
      </w:r>
    </w:p>
    <w:p w:rsidR="00431206" w:rsidRDefault="00431206" w:rsidP="00431206">
      <w:pPr>
        <w:pStyle w:val="Standard"/>
        <w:spacing w:line="288" w:lineRule="auto"/>
        <w:rPr>
          <w:rFonts w:ascii="Century Gothic" w:hAnsi="Century Gothic"/>
          <w:sz w:val="20"/>
          <w:szCs w:val="20"/>
        </w:rPr>
      </w:pPr>
    </w:p>
    <w:p w:rsidR="00431206" w:rsidRDefault="00431206" w:rsidP="00431206">
      <w:pPr>
        <w:pStyle w:val="Standard"/>
        <w:spacing w:line="288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Rok produkcji (min. 2018): …..............</w:t>
      </w:r>
    </w:p>
    <w:p w:rsidR="00431206" w:rsidRDefault="00431206" w:rsidP="00431206">
      <w:pPr>
        <w:pStyle w:val="Standard"/>
        <w:spacing w:line="288" w:lineRule="auto"/>
        <w:rPr>
          <w:rFonts w:ascii="Century Gothic" w:hAnsi="Century Gothic"/>
          <w:sz w:val="20"/>
          <w:szCs w:val="20"/>
        </w:rPr>
      </w:pPr>
    </w:p>
    <w:p w:rsidR="00431206" w:rsidRDefault="00431206" w:rsidP="00431206">
      <w:pPr>
        <w:pStyle w:val="Standard"/>
        <w:spacing w:line="288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Klasa wyrobu medycznego: ..................</w:t>
      </w:r>
    </w:p>
    <w:p w:rsidR="00431206" w:rsidRDefault="00431206" w:rsidP="00431206">
      <w:pPr>
        <w:pStyle w:val="Standard"/>
        <w:spacing w:line="288" w:lineRule="auto"/>
        <w:rPr>
          <w:rFonts w:ascii="Century Gothic" w:hAnsi="Century Gothic"/>
          <w:sz w:val="20"/>
          <w:szCs w:val="20"/>
        </w:rPr>
      </w:pPr>
    </w:p>
    <w:p w:rsidR="00984712" w:rsidRPr="00431206" w:rsidRDefault="00984712" w:rsidP="00984712">
      <w:pPr>
        <w:spacing w:line="360" w:lineRule="auto"/>
        <w:rPr>
          <w:rFonts w:ascii="Century Gothic" w:hAnsi="Century Gothic"/>
          <w:b/>
          <w:bCs/>
          <w:sz w:val="20"/>
          <w:szCs w:val="20"/>
        </w:rPr>
      </w:pPr>
      <w:r w:rsidRPr="00431206">
        <w:rPr>
          <w:rFonts w:ascii="Century Gothic" w:hAnsi="Century Gothic"/>
          <w:b/>
          <w:bCs/>
          <w:sz w:val="20"/>
          <w:szCs w:val="20"/>
        </w:rPr>
        <w:t>Parametry techniczne i eksploatacyjne</w:t>
      </w:r>
    </w:p>
    <w:tbl>
      <w:tblPr>
        <w:tblW w:w="1460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5812"/>
        <w:gridCol w:w="1701"/>
        <w:gridCol w:w="3685"/>
        <w:gridCol w:w="2694"/>
      </w:tblGrid>
      <w:tr w:rsidR="008028E8" w:rsidRPr="00716F0E" w:rsidTr="008028E8">
        <w:tc>
          <w:tcPr>
            <w:tcW w:w="709" w:type="dxa"/>
            <w:vAlign w:val="center"/>
          </w:tcPr>
          <w:p w:rsidR="008028E8" w:rsidRPr="00716F0E" w:rsidRDefault="008028E8" w:rsidP="00B5731F">
            <w:pPr>
              <w:pStyle w:val="Zawartotabeli"/>
              <w:snapToGrid w:val="0"/>
              <w:spacing w:line="288" w:lineRule="auto"/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sz w:val="20"/>
                <w:szCs w:val="20"/>
              </w:rPr>
              <w:t>l.p.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8028E8" w:rsidRPr="00716F0E" w:rsidRDefault="008028E8" w:rsidP="00106FA1">
            <w:pPr>
              <w:pStyle w:val="Zawartotabeli"/>
              <w:snapToGrid w:val="0"/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b/>
                <w:sz w:val="20"/>
                <w:szCs w:val="20"/>
              </w:rPr>
              <w:t>Opis parametru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028E8" w:rsidRPr="00716F0E" w:rsidRDefault="008028E8" w:rsidP="00C2669F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b/>
                <w:sz w:val="20"/>
                <w:szCs w:val="20"/>
              </w:rPr>
              <w:t>Parametr wymagany/ wartość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8028E8" w:rsidRPr="00716F0E" w:rsidRDefault="008028E8" w:rsidP="00C2669F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b/>
                <w:sz w:val="20"/>
                <w:szCs w:val="20"/>
              </w:rPr>
              <w:t>Parametr oferowany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8028E8" w:rsidRPr="00716F0E" w:rsidRDefault="008028E8" w:rsidP="00C2669F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  <w:highlight w:val="yellow"/>
              </w:rPr>
            </w:pPr>
            <w:r w:rsidRPr="00716F0E">
              <w:rPr>
                <w:rFonts w:ascii="Century Gothic" w:hAnsi="Century Gothic" w:cs="Arial"/>
                <w:b/>
                <w:sz w:val="20"/>
                <w:szCs w:val="20"/>
              </w:rPr>
              <w:t>OCENA PKT.</w:t>
            </w:r>
          </w:p>
        </w:tc>
      </w:tr>
      <w:tr w:rsidR="008028E8" w:rsidRPr="00EC6DB9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028E8" w:rsidRPr="008028E8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Mikroskop operacyjny wysokiej klasy, dedykowany do zastosowań m. in. zaawansowanych procedurach neurochirurgicznych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8E8" w:rsidRPr="00716F0E" w:rsidRDefault="008028E8" w:rsidP="00065CE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16F0E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8028E8" w:rsidRPr="00EC6DB9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028E8" w:rsidRPr="008028E8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Statyw podłogowy – jezdny, z blokadą do unieruchomienia układu jezdnego statywu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8E8" w:rsidRPr="00716F0E" w:rsidRDefault="008028E8" w:rsidP="00065CE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16F0E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8028E8" w:rsidRPr="00C2669F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028E8" w:rsidRPr="008028E8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 xml:space="preserve">Powierzchnia mikroskopu łatwa do dezynfekcji </w:t>
            </w:r>
            <w:r w:rsidRPr="00716F0E">
              <w:rPr>
                <w:rFonts w:ascii="Century Gothic" w:hAnsi="Century Gothic" w:cs="Arial"/>
                <w:sz w:val="20"/>
                <w:szCs w:val="20"/>
              </w:rPr>
              <w:br/>
              <w:t>i utrzymania w czystości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8E8" w:rsidRPr="00716F0E" w:rsidRDefault="008028E8" w:rsidP="00065CE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16F0E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8028E8" w:rsidRPr="00C2669F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028E8" w:rsidRPr="008028E8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Precyzyjny system zawieszania i wyważania mikroskopu (6 stopni swobody)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8E8" w:rsidRPr="00716F0E" w:rsidRDefault="008028E8" w:rsidP="00065CE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16F0E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8028E8" w:rsidRPr="00C2669F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028E8" w:rsidRPr="008028E8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Regulacja ramion mikroskopu – elektromagnetyczna lub mechaniczna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F65B8E" w:rsidRDefault="00A37445" w:rsidP="008D75E9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F65B8E">
              <w:rPr>
                <w:rFonts w:ascii="Century Gothic" w:hAnsi="Century Gothic" w:cs="Arial"/>
                <w:sz w:val="20"/>
                <w:szCs w:val="20"/>
              </w:rPr>
              <w:t>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8E8" w:rsidRPr="00F65B8E" w:rsidRDefault="008028E8" w:rsidP="00065CE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7B4693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716F0E">
              <w:rPr>
                <w:rFonts w:ascii="Century Gothic" w:hAnsi="Century Gothic" w:cs="Arial"/>
                <w:sz w:val="16"/>
                <w:szCs w:val="16"/>
              </w:rPr>
              <w:t>W pełni elektromagnetyczna – 2 pkt.</w:t>
            </w:r>
            <w:r w:rsidR="00A37445">
              <w:rPr>
                <w:rFonts w:ascii="Century Gothic" w:hAnsi="Century Gothic" w:cs="Arial"/>
                <w:sz w:val="16"/>
                <w:szCs w:val="16"/>
              </w:rPr>
              <w:t xml:space="preserve"> </w:t>
            </w:r>
            <w:r w:rsidRPr="00716F0E">
              <w:rPr>
                <w:rFonts w:ascii="Century Gothic" w:hAnsi="Century Gothic" w:cs="Arial"/>
                <w:sz w:val="16"/>
                <w:szCs w:val="16"/>
              </w:rPr>
              <w:t>Inne rozwiązania – 1 pkt.</w:t>
            </w:r>
          </w:p>
        </w:tc>
      </w:tr>
      <w:tr w:rsidR="008028E8" w:rsidRPr="00C2669F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028E8" w:rsidRPr="008028E8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Obrót statywu względem podstawy jezdnej min. 340[º]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7B4693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8E8" w:rsidRPr="00716F0E" w:rsidRDefault="008028E8" w:rsidP="00065CE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16F0E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8028E8" w:rsidRPr="00C2669F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028E8" w:rsidRPr="008028E8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System przesuwu głowicy XY w 3 osiach - sterowanie z rękojeści niezależnie od sprzęgieł elektromagnetycznych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8E8" w:rsidRPr="00716F0E" w:rsidRDefault="008028E8" w:rsidP="00065CE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16F0E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8028E8" w:rsidRPr="00C2669F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028E8" w:rsidRPr="008028E8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System automatycznego balansowania mikroskopu i statywu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8E8" w:rsidRPr="00716F0E" w:rsidRDefault="008028E8" w:rsidP="00065CE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16F0E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8028E8" w:rsidRPr="00C2669F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028E8" w:rsidRPr="008028E8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Możliwość ręcznego zbalansowania mikroskopu w przypadku awarii funkcji automatycznej.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8E8" w:rsidRPr="00716F0E" w:rsidRDefault="008028E8" w:rsidP="00065CE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7B4693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716F0E">
              <w:rPr>
                <w:rFonts w:ascii="Century Gothic" w:hAnsi="Century Gothic" w:cs="Arial"/>
                <w:sz w:val="16"/>
                <w:szCs w:val="16"/>
              </w:rPr>
              <w:t>Tak – 1 pkt.</w:t>
            </w:r>
            <w:r w:rsidR="00A37445">
              <w:rPr>
                <w:rFonts w:ascii="Century Gothic" w:hAnsi="Century Gothic" w:cs="Arial"/>
                <w:sz w:val="16"/>
                <w:szCs w:val="16"/>
              </w:rPr>
              <w:t xml:space="preserve"> </w:t>
            </w:r>
            <w:r w:rsidRPr="00716F0E">
              <w:rPr>
                <w:rFonts w:ascii="Century Gothic" w:hAnsi="Century Gothic" w:cs="Arial"/>
                <w:sz w:val="16"/>
                <w:szCs w:val="16"/>
              </w:rPr>
              <w:t>Nie – 0 pkt.</w:t>
            </w:r>
          </w:p>
        </w:tc>
      </w:tr>
      <w:tr w:rsidR="008028E8" w:rsidRPr="00C2669F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028E8" w:rsidRPr="008028E8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Oświetlenie prowadzone światłowodem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8E8" w:rsidRPr="00716F0E" w:rsidRDefault="008028E8" w:rsidP="00065CE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16F0E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8028E8" w:rsidRPr="00C2669F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028E8" w:rsidRPr="008028E8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Główne źródło światła - ksenonowe moc min. 300[W]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TAK</w:t>
            </w:r>
          </w:p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8E8" w:rsidRPr="00716F0E" w:rsidRDefault="008028E8" w:rsidP="00065CE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16F0E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8028E8" w:rsidRPr="00C2669F" w:rsidTr="008028E8">
        <w:tc>
          <w:tcPr>
            <w:tcW w:w="709" w:type="dxa"/>
            <w:tcBorders>
              <w:bottom w:val="single" w:sz="4" w:space="0" w:color="auto"/>
            </w:tcBorders>
          </w:tcPr>
          <w:p w:rsidR="008028E8" w:rsidRPr="008028E8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bottom w:val="single" w:sz="4" w:space="0" w:color="auto"/>
            </w:tcBorders>
            <w:shd w:val="clear" w:color="auto" w:fill="auto"/>
          </w:tcPr>
          <w:p w:rsidR="008028E8" w:rsidRPr="00716F0E" w:rsidRDefault="008028E8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Zapasowe źródło światła - ksenonowe moc min. 300[W]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TAK</w:t>
            </w:r>
          </w:p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:rsidR="008028E8" w:rsidRPr="00716F0E" w:rsidRDefault="008028E8" w:rsidP="00065CE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16F0E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8028E8" w:rsidRPr="00C2669F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028E8" w:rsidRPr="008028E8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Wskaźnik zużycia lampy wyrażony w roboczogodzinach/godzinach pracy [h]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8E8" w:rsidRPr="00716F0E" w:rsidRDefault="008028E8" w:rsidP="00065CE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16F0E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8028E8" w:rsidRPr="00C2669F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028E8" w:rsidRPr="008028E8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System automatycznej regulacji natężenia światła w zależności od dystansu ogniskowania mikroskopu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8E8" w:rsidRPr="00716F0E" w:rsidRDefault="008028E8" w:rsidP="00065CE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716F0E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716F0E">
              <w:rPr>
                <w:rFonts w:ascii="Century Gothic" w:hAnsi="Century Gothic" w:cs="Arial"/>
                <w:sz w:val="16"/>
                <w:szCs w:val="16"/>
              </w:rPr>
              <w:t>Tak – 1 pkt.</w:t>
            </w:r>
            <w:r>
              <w:rPr>
                <w:rFonts w:ascii="Century Gothic" w:hAnsi="Century Gothic" w:cs="Arial"/>
                <w:sz w:val="16"/>
                <w:szCs w:val="16"/>
              </w:rPr>
              <w:t xml:space="preserve">, </w:t>
            </w:r>
            <w:r w:rsidRPr="00716F0E">
              <w:rPr>
                <w:rFonts w:ascii="Century Gothic" w:hAnsi="Century Gothic" w:cs="Arial"/>
                <w:sz w:val="16"/>
                <w:szCs w:val="16"/>
              </w:rPr>
              <w:t>Nie – 0 pkt.</w:t>
            </w:r>
          </w:p>
        </w:tc>
      </w:tr>
      <w:tr w:rsidR="008028E8" w:rsidRPr="00C2669F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028E8" w:rsidRPr="008028E8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System automatycznej regulacji natężenia światła w zależności od wielkości (średnicy) oświetlanego pola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8E8" w:rsidRPr="00716F0E" w:rsidRDefault="008028E8" w:rsidP="00065CE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716F0E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716F0E">
              <w:rPr>
                <w:rFonts w:ascii="Century Gothic" w:hAnsi="Century Gothic" w:cs="Arial"/>
                <w:sz w:val="16"/>
                <w:szCs w:val="16"/>
              </w:rPr>
              <w:t>Tak – 1 pkt.</w:t>
            </w:r>
            <w:r>
              <w:rPr>
                <w:rFonts w:ascii="Century Gothic" w:hAnsi="Century Gothic" w:cs="Arial"/>
                <w:sz w:val="16"/>
                <w:szCs w:val="16"/>
              </w:rPr>
              <w:t xml:space="preserve">, </w:t>
            </w:r>
            <w:r w:rsidRPr="00716F0E">
              <w:rPr>
                <w:rFonts w:ascii="Century Gothic" w:hAnsi="Century Gothic" w:cs="Arial"/>
                <w:sz w:val="16"/>
                <w:szCs w:val="16"/>
              </w:rPr>
              <w:t>Nie – 0 pkt.</w:t>
            </w:r>
          </w:p>
        </w:tc>
      </w:tr>
      <w:tr w:rsidR="008028E8" w:rsidRPr="00C2669F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3"/>
        </w:trPr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028E8" w:rsidRPr="008028E8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Bezcieniowe pole widzenia przy pracy w wąskich kanałach</w:t>
            </w:r>
          </w:p>
          <w:p w:rsidR="008028E8" w:rsidRPr="00716F0E" w:rsidRDefault="008028E8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8E8" w:rsidRPr="00716F0E" w:rsidRDefault="008028E8" w:rsidP="00065CE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16F0E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8028E8" w:rsidRPr="00C2669F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028E8" w:rsidRPr="008028E8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Możliwość zawężania oświetlanego pola operacyjnego do pracy w kanałach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8E8" w:rsidRPr="00716F0E" w:rsidRDefault="008028E8" w:rsidP="00065CE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16F0E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8028E8" w:rsidRPr="00C2669F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028E8" w:rsidRPr="008028E8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Prowadzenie światłowodów oraz przewodów toru wizyjnego w ramionach statywu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8E8" w:rsidRPr="00716F0E" w:rsidRDefault="008028E8" w:rsidP="00065CE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16F0E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8028E8" w:rsidRPr="00C2669F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028E8" w:rsidRPr="008028E8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Ogniskowa obiektywu min. 230-450[mm]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716F0E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TAK</w:t>
            </w:r>
            <w:r w:rsidR="00106FA1">
              <w:rPr>
                <w:rFonts w:ascii="Century Gothic" w:hAnsi="Century Gothic" w:cs="Arial"/>
                <w:sz w:val="20"/>
                <w:szCs w:val="20"/>
              </w:rPr>
              <w:t xml:space="preserve">, </w:t>
            </w:r>
            <w:r w:rsidR="00106FA1" w:rsidRPr="00F65B8E">
              <w:rPr>
                <w:rFonts w:ascii="Century Gothic" w:hAnsi="Century Gothic" w:cs="Arial"/>
                <w:sz w:val="20"/>
                <w:szCs w:val="20"/>
              </w:rPr>
              <w:t>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8E8" w:rsidRPr="00BE7B7B" w:rsidRDefault="008028E8" w:rsidP="00065CE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0070C0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716F0E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716F0E">
              <w:rPr>
                <w:rFonts w:ascii="Century Gothic" w:hAnsi="Century Gothic" w:cs="Arial"/>
                <w:sz w:val="16"/>
                <w:szCs w:val="16"/>
              </w:rPr>
              <w:t>Zakres wymagany – 1 pkt.</w:t>
            </w:r>
            <w:r>
              <w:rPr>
                <w:rFonts w:ascii="Century Gothic" w:hAnsi="Century Gothic" w:cs="Arial"/>
                <w:sz w:val="16"/>
                <w:szCs w:val="16"/>
              </w:rPr>
              <w:t xml:space="preserve">, </w:t>
            </w:r>
            <w:r w:rsidRPr="00716F0E">
              <w:rPr>
                <w:rFonts w:ascii="Century Gothic" w:hAnsi="Century Gothic" w:cs="Arial"/>
                <w:sz w:val="16"/>
                <w:szCs w:val="16"/>
              </w:rPr>
              <w:t>Wyższy niż wymagany – 2 pkt.</w:t>
            </w:r>
          </w:p>
        </w:tc>
      </w:tr>
      <w:tr w:rsidR="008028E8" w:rsidRPr="00C2669F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028E8" w:rsidRPr="008028E8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 xml:space="preserve">Płynne sterowane (z możliwością zmiany szybkości działania), elektromotoryczne powiększenie </w:t>
            </w:r>
          </w:p>
          <w:p w:rsidR="008028E8" w:rsidRPr="00716F0E" w:rsidRDefault="008028E8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- w zakresie min. 1:6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8E8" w:rsidRPr="00716F0E" w:rsidRDefault="008028E8" w:rsidP="00065CE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16F0E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8028E8" w:rsidRPr="00C2669F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028E8" w:rsidRPr="008028E8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 xml:space="preserve">Płynna, elektromotoryczna regulacja ostrości (fokus) </w:t>
            </w:r>
          </w:p>
          <w:p w:rsidR="008028E8" w:rsidRPr="00716F0E" w:rsidRDefault="008028E8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- z możliwością zmiany szybkości działania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8E8" w:rsidRPr="00716F0E" w:rsidRDefault="008028E8" w:rsidP="00065CE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16F0E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8028E8" w:rsidRPr="00C2669F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028E8" w:rsidRPr="008028E8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Funkcja zależności prędkości działania od stopnia powiększenia (duże powiększenie - mniejsza prędkość fokus, małe powiększenie – wyższa prędkość fokus)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8E8" w:rsidRPr="00716F0E" w:rsidRDefault="008028E8" w:rsidP="00065CE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716F0E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716F0E">
              <w:rPr>
                <w:rFonts w:ascii="Century Gothic" w:hAnsi="Century Gothic" w:cs="Arial"/>
                <w:sz w:val="16"/>
                <w:szCs w:val="16"/>
              </w:rPr>
              <w:t>Tak – 2 pkt.</w:t>
            </w:r>
            <w:r>
              <w:rPr>
                <w:rFonts w:ascii="Century Gothic" w:hAnsi="Century Gothic" w:cs="Arial"/>
                <w:sz w:val="16"/>
                <w:szCs w:val="16"/>
              </w:rPr>
              <w:t xml:space="preserve">, </w:t>
            </w:r>
            <w:r w:rsidRPr="00716F0E">
              <w:rPr>
                <w:rFonts w:ascii="Century Gothic" w:hAnsi="Century Gothic" w:cs="Arial"/>
                <w:sz w:val="16"/>
                <w:szCs w:val="16"/>
              </w:rPr>
              <w:t>Nie – 0 pkt.</w:t>
            </w:r>
          </w:p>
        </w:tc>
      </w:tr>
      <w:tr w:rsidR="008028E8" w:rsidRPr="00C2669F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028E8" w:rsidRPr="008028E8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 xml:space="preserve">Manualna regulacja funkcji </w:t>
            </w:r>
            <w:proofErr w:type="spellStart"/>
            <w:r w:rsidRPr="00716F0E">
              <w:rPr>
                <w:rFonts w:ascii="Century Gothic" w:hAnsi="Century Gothic" w:cs="Arial"/>
                <w:sz w:val="20"/>
                <w:szCs w:val="20"/>
              </w:rPr>
              <w:t>focus</w:t>
            </w:r>
            <w:proofErr w:type="spellEnd"/>
            <w:r w:rsidRPr="00716F0E">
              <w:rPr>
                <w:rFonts w:ascii="Century Gothic" w:hAnsi="Century Gothic" w:cs="Arial"/>
                <w:sz w:val="20"/>
                <w:szCs w:val="20"/>
              </w:rPr>
              <w:t xml:space="preserve"> oraz zoom </w:t>
            </w:r>
          </w:p>
          <w:p w:rsidR="008028E8" w:rsidRPr="00716F0E" w:rsidRDefault="008028E8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w sytuacjach awaryjnych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8E8" w:rsidRPr="00716F0E" w:rsidRDefault="008028E8" w:rsidP="00065CE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716F0E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716F0E">
              <w:rPr>
                <w:rFonts w:ascii="Century Gothic" w:hAnsi="Century Gothic" w:cs="Arial"/>
                <w:sz w:val="16"/>
                <w:szCs w:val="16"/>
              </w:rPr>
              <w:t>Tak – 1 pkt.</w:t>
            </w:r>
            <w:r>
              <w:rPr>
                <w:rFonts w:ascii="Century Gothic" w:hAnsi="Century Gothic" w:cs="Arial"/>
                <w:sz w:val="16"/>
                <w:szCs w:val="16"/>
              </w:rPr>
              <w:t xml:space="preserve">, </w:t>
            </w:r>
            <w:r w:rsidRPr="00716F0E">
              <w:rPr>
                <w:rFonts w:ascii="Century Gothic" w:hAnsi="Century Gothic" w:cs="Arial"/>
                <w:sz w:val="16"/>
                <w:szCs w:val="16"/>
              </w:rPr>
              <w:t>Nie – 0 pkt.</w:t>
            </w:r>
          </w:p>
        </w:tc>
      </w:tr>
      <w:tr w:rsidR="008028E8" w:rsidRPr="00C2669F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028E8" w:rsidRPr="008028E8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 xml:space="preserve">Sterowanie funkcjami fokus i zoom poprzez przełączniki umieszczone na bocznych uchwytach </w:t>
            </w:r>
          </w:p>
          <w:p w:rsidR="008028E8" w:rsidRPr="00716F0E" w:rsidRDefault="008028E8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do manewrowania mikroskopem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8E8" w:rsidRPr="00716F0E" w:rsidRDefault="008028E8" w:rsidP="00065CE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16F0E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8028E8" w:rsidRPr="00C2669F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028E8" w:rsidRPr="008028E8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Zwalnianie hamulców poprzez przełączniki umieszczone na bocznych uchwytach do manewrowania mikroskopem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8E8" w:rsidRPr="00716F0E" w:rsidRDefault="008028E8" w:rsidP="00065CE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716F0E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716F0E">
              <w:rPr>
                <w:rFonts w:ascii="Century Gothic" w:hAnsi="Century Gothic" w:cs="Arial"/>
                <w:sz w:val="16"/>
                <w:szCs w:val="16"/>
              </w:rPr>
              <w:t>Tak – 1 pkt.</w:t>
            </w:r>
            <w:r>
              <w:rPr>
                <w:rFonts w:ascii="Century Gothic" w:hAnsi="Century Gothic" w:cs="Arial"/>
                <w:sz w:val="16"/>
                <w:szCs w:val="16"/>
              </w:rPr>
              <w:t xml:space="preserve">, </w:t>
            </w:r>
            <w:r w:rsidRPr="00716F0E">
              <w:rPr>
                <w:rFonts w:ascii="Century Gothic" w:hAnsi="Century Gothic" w:cs="Arial"/>
                <w:sz w:val="16"/>
                <w:szCs w:val="16"/>
              </w:rPr>
              <w:t>Nie – 0 pkt.</w:t>
            </w:r>
          </w:p>
        </w:tc>
      </w:tr>
      <w:tr w:rsidR="008028E8" w:rsidRPr="00C2669F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028E8" w:rsidRPr="008028E8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 xml:space="preserve">Sprzęgła elektromotoryczne 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8E8" w:rsidRPr="00716F0E" w:rsidRDefault="008028E8" w:rsidP="00065CE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16F0E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8028E8" w:rsidRPr="00C2669F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028E8" w:rsidRPr="004A4815" w:rsidRDefault="008028E8" w:rsidP="008028E8">
            <w:pPr>
              <w:pStyle w:val="Akapitzlist"/>
              <w:numPr>
                <w:ilvl w:val="0"/>
                <w:numId w:val="43"/>
              </w:numPr>
              <w:spacing w:after="60" w:line="288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4A4815" w:rsidRDefault="008028E8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4A4815">
              <w:rPr>
                <w:rFonts w:ascii="Century Gothic" w:hAnsi="Century Gothic" w:cs="Arial"/>
                <w:sz w:val="20"/>
                <w:szCs w:val="20"/>
              </w:rPr>
              <w:t xml:space="preserve">Możliwość selektywnego uruchamiania sprzęgieł statywu i mikroskopu 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8E8" w:rsidRPr="00716F0E" w:rsidRDefault="008028E8" w:rsidP="00065CE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16F0E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8028E8" w:rsidRPr="00C2669F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028E8" w:rsidRPr="008028E8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Przyłączanie wyposażenia dodatkowego (podgląd asystencki, nasadka okularowa do pracy face to face, foto, video) – za pomocą rozdzielacza optycznego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8E8" w:rsidRPr="00716F0E" w:rsidRDefault="008028E8" w:rsidP="00065CE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16F0E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8028E8" w:rsidRPr="00C2669F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028E8" w:rsidRPr="008028E8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Łatwa i szybka zmiana strony podglądu asystenckiego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8E8" w:rsidRPr="00716F0E" w:rsidRDefault="008028E8" w:rsidP="00065CE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16F0E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8028E8" w:rsidRPr="00C2669F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028E8" w:rsidRPr="008028E8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Podgląd asystencki stereoskopowy na ramieniu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8E8" w:rsidRPr="00716F0E" w:rsidRDefault="008028E8" w:rsidP="00065CE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16F0E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8028E8" w:rsidRPr="00C2669F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028E8" w:rsidRPr="008028E8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 xml:space="preserve">Podgląd asystencki – regulacja </w:t>
            </w:r>
            <w:proofErr w:type="spellStart"/>
            <w:r w:rsidRPr="00716F0E">
              <w:rPr>
                <w:rFonts w:ascii="Century Gothic" w:hAnsi="Century Gothic" w:cs="Arial"/>
                <w:sz w:val="20"/>
                <w:szCs w:val="20"/>
              </w:rPr>
              <w:t>tubusa</w:t>
            </w:r>
            <w:proofErr w:type="spellEnd"/>
            <w:r w:rsidRPr="00716F0E">
              <w:rPr>
                <w:rFonts w:ascii="Century Gothic" w:hAnsi="Century Gothic" w:cs="Arial"/>
                <w:sz w:val="20"/>
                <w:szCs w:val="20"/>
              </w:rPr>
              <w:t xml:space="preserve"> w min. dwóch płaszczyznach z okularami o powiększeniu min. 12x 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8E8" w:rsidRPr="00716F0E" w:rsidRDefault="008028E8" w:rsidP="00065CE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16F0E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8028E8" w:rsidRPr="00C2669F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028E8" w:rsidRPr="008028E8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Możliwość pochylania samej nasadki w zakresie min. 150 stopni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8E8" w:rsidRPr="00716F0E" w:rsidRDefault="008028E8" w:rsidP="00065CE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716F0E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716F0E">
              <w:rPr>
                <w:rFonts w:ascii="Century Gothic" w:hAnsi="Century Gothic" w:cs="Arial"/>
                <w:sz w:val="16"/>
                <w:szCs w:val="16"/>
              </w:rPr>
              <w:t>Tak – 1 pkt.</w:t>
            </w:r>
            <w:r>
              <w:rPr>
                <w:rFonts w:ascii="Century Gothic" w:hAnsi="Century Gothic" w:cs="Arial"/>
                <w:sz w:val="16"/>
                <w:szCs w:val="16"/>
              </w:rPr>
              <w:t xml:space="preserve">, </w:t>
            </w:r>
            <w:r w:rsidRPr="00716F0E">
              <w:rPr>
                <w:rFonts w:ascii="Century Gothic" w:hAnsi="Century Gothic" w:cs="Arial"/>
                <w:sz w:val="16"/>
                <w:szCs w:val="16"/>
              </w:rPr>
              <w:t>Nie – 0 pkt.</w:t>
            </w:r>
          </w:p>
        </w:tc>
      </w:tr>
      <w:tr w:rsidR="008028E8" w:rsidRPr="00C2669F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028E8" w:rsidRPr="008028E8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Ruchy głowicy w kierunku góra-dół bez zmiany pozycji bocznego podglądu asystenckiego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 w:rsidRPr="00716F0E">
              <w:rPr>
                <w:rFonts w:ascii="Century Gothic" w:hAnsi="Century Gothic" w:cs="Arial"/>
                <w:sz w:val="20"/>
                <w:szCs w:val="20"/>
              </w:rPr>
              <w:t>lub:</w:t>
            </w:r>
          </w:p>
          <w:p w:rsidR="008028E8" w:rsidRPr="00716F0E" w:rsidRDefault="008028E8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dodatkowo pochylana nasadka bocznego podglądu w zakresie min. 150 stopni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8E8" w:rsidRPr="00716F0E" w:rsidRDefault="008028E8" w:rsidP="00065CE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716F0E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716F0E">
              <w:rPr>
                <w:rFonts w:ascii="Century Gothic" w:hAnsi="Century Gothic" w:cs="Arial"/>
                <w:sz w:val="16"/>
                <w:szCs w:val="16"/>
              </w:rPr>
              <w:t>Tak – 2 pkt.</w:t>
            </w:r>
            <w:r>
              <w:rPr>
                <w:rFonts w:ascii="Century Gothic" w:hAnsi="Century Gothic" w:cs="Arial"/>
                <w:sz w:val="16"/>
                <w:szCs w:val="16"/>
              </w:rPr>
              <w:t xml:space="preserve">, </w:t>
            </w:r>
            <w:r w:rsidRPr="00716F0E">
              <w:rPr>
                <w:rFonts w:ascii="Century Gothic" w:hAnsi="Century Gothic" w:cs="Arial"/>
                <w:sz w:val="16"/>
                <w:szCs w:val="16"/>
              </w:rPr>
              <w:t>Nie – 0 pkt.</w:t>
            </w:r>
          </w:p>
        </w:tc>
      </w:tr>
      <w:tr w:rsidR="008028E8" w:rsidRPr="00C2669F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028E8" w:rsidRPr="008028E8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Nasadka okularowa operatora pochylna w zakresie ruchu góra-dół min. 115[º]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TAK</w:t>
            </w:r>
          </w:p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8E8" w:rsidRPr="00716F0E" w:rsidRDefault="008028E8" w:rsidP="00065CE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16F0E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8028E8" w:rsidRPr="00C2669F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028E8" w:rsidRPr="008028E8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eastAsia="Calibri" w:hAnsi="Century Gothic" w:cs="Arial"/>
                <w:sz w:val="20"/>
                <w:szCs w:val="20"/>
              </w:rPr>
              <w:t xml:space="preserve">Nasadka okularowa z okularami o powiększeniu </w:t>
            </w:r>
            <w:r w:rsidRPr="00716F0E">
              <w:rPr>
                <w:rFonts w:ascii="Century Gothic" w:eastAsia="Calibri" w:hAnsi="Century Gothic" w:cs="Arial"/>
                <w:sz w:val="20"/>
                <w:szCs w:val="20"/>
              </w:rPr>
              <w:br/>
              <w:t>min 10x</w:t>
            </w:r>
            <w:r w:rsidRPr="00716F0E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TAK</w:t>
            </w:r>
          </w:p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8E8" w:rsidRPr="00716F0E" w:rsidRDefault="008028E8" w:rsidP="00065CE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16F0E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8028E8" w:rsidRPr="00C2669F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028E8" w:rsidRPr="008028E8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106FA1">
            <w:pPr>
              <w:spacing w:after="0" w:line="240" w:lineRule="auto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Nasadka okularowa drugiego operatora „face to „face” – pochylna w zakresie ruchu góra-dół zakres przechyłu: min. 115 [º], powiększenie okularów: min. 10x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spacing w:after="6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 xml:space="preserve">TAK </w:t>
            </w:r>
          </w:p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8E8" w:rsidRPr="00716F0E" w:rsidRDefault="008028E8" w:rsidP="00065CE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16F0E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8028E8" w:rsidRPr="00C2669F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028E8" w:rsidRPr="008028E8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Możliwość indywidualnych ustawień n/w parametrów: zoom, fokus, natężenie oświetlenia, konfiguracja przycisków rękojeści – min. 5 operatorów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8E8" w:rsidRPr="00716F0E" w:rsidRDefault="008028E8" w:rsidP="00065CE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16F0E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8028E8" w:rsidRPr="00C2669F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028E8" w:rsidRPr="008028E8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 xml:space="preserve">Współpraca z systemami </w:t>
            </w:r>
            <w:proofErr w:type="spellStart"/>
            <w:r w:rsidRPr="00716F0E">
              <w:rPr>
                <w:rFonts w:ascii="Century Gothic" w:hAnsi="Century Gothic" w:cs="Arial"/>
                <w:sz w:val="20"/>
                <w:szCs w:val="20"/>
              </w:rPr>
              <w:t>neuronawigacji</w:t>
            </w:r>
            <w:proofErr w:type="spellEnd"/>
            <w:r w:rsidRPr="00716F0E">
              <w:rPr>
                <w:rFonts w:ascii="Century Gothic" w:hAnsi="Century Gothic" w:cs="Arial"/>
                <w:sz w:val="20"/>
                <w:szCs w:val="20"/>
              </w:rPr>
              <w:t xml:space="preserve"> (zainstalowany dwukierunkowy interfejs do pracy </w:t>
            </w:r>
          </w:p>
          <w:p w:rsidR="008028E8" w:rsidRPr="00716F0E" w:rsidRDefault="008028E8" w:rsidP="00106FA1">
            <w:pPr>
              <w:spacing w:after="0" w:line="240" w:lineRule="auto"/>
              <w:rPr>
                <w:rFonts w:ascii="Century Gothic" w:hAnsi="Century Gothic" w:cs="Arial"/>
                <w:i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 xml:space="preserve">z systemami </w:t>
            </w:r>
            <w:proofErr w:type="spellStart"/>
            <w:r w:rsidRPr="00716F0E">
              <w:rPr>
                <w:rFonts w:ascii="Century Gothic" w:hAnsi="Century Gothic" w:cs="Arial"/>
                <w:sz w:val="20"/>
                <w:szCs w:val="20"/>
              </w:rPr>
              <w:t>neuronawigacji</w:t>
            </w:r>
            <w:proofErr w:type="spellEnd"/>
            <w:r w:rsidRPr="00716F0E">
              <w:rPr>
                <w:rFonts w:ascii="Century Gothic" w:hAnsi="Century Gothic" w:cs="Arial"/>
                <w:sz w:val="20"/>
                <w:szCs w:val="20"/>
              </w:rPr>
              <w:t>)</w:t>
            </w:r>
          </w:p>
          <w:p w:rsidR="008028E8" w:rsidRPr="00716F0E" w:rsidRDefault="008028E8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eastAsia="Calibri" w:hAnsi="Century Gothic" w:cs="Arial"/>
                <w:sz w:val="20"/>
                <w:szCs w:val="20"/>
              </w:rPr>
              <w:t>System nastrzykiwania obrazu do okularów operatora o rozdzielczości wynoszącej równe 1024 × 768 pikseli lub wyższej.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8E8" w:rsidRPr="00716F0E" w:rsidRDefault="008028E8" w:rsidP="00065CE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16F0E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8028E8" w:rsidRPr="00C2669F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028E8" w:rsidRPr="008028E8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 xml:space="preserve">System doprowadzający do operatora informacje o parametrach pracy mikroskopu oraz informacji z urządzeń peryferyjnych. </w:t>
            </w:r>
          </w:p>
          <w:p w:rsidR="008028E8" w:rsidRPr="00716F0E" w:rsidRDefault="008028E8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Dopuszcza się następujące  rozwiązania:</w:t>
            </w:r>
          </w:p>
          <w:p w:rsidR="008028E8" w:rsidRPr="00716F0E" w:rsidRDefault="008028E8" w:rsidP="00106FA1">
            <w:pPr>
              <w:widowControl w:val="0"/>
              <w:numPr>
                <w:ilvl w:val="0"/>
                <w:numId w:val="39"/>
              </w:numPr>
              <w:suppressAutoHyphens/>
              <w:spacing w:after="0" w:line="240" w:lineRule="auto"/>
              <w:ind w:left="229" w:hanging="229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 xml:space="preserve">zintegrowany tzw. </w:t>
            </w:r>
            <w:proofErr w:type="spellStart"/>
            <w:r w:rsidRPr="00716F0E">
              <w:rPr>
                <w:rFonts w:ascii="Century Gothic" w:hAnsi="Century Gothic" w:cs="Arial"/>
                <w:sz w:val="20"/>
                <w:szCs w:val="20"/>
              </w:rPr>
              <w:t>head-up</w:t>
            </w:r>
            <w:proofErr w:type="spellEnd"/>
            <w:r w:rsidRPr="00716F0E">
              <w:rPr>
                <w:rFonts w:ascii="Century Gothic" w:hAnsi="Century Gothic" w:cs="Arial"/>
                <w:sz w:val="20"/>
                <w:szCs w:val="20"/>
              </w:rPr>
              <w:t xml:space="preserve"> display (rozdzielczość min. SVGA 800x600) pozwalający na naprzemienne wprowadzanie w oba okulary informacji o parametrach pracy mikroskopu oraz obrazów pochodzących z urządzeń peryferyjnych,</w:t>
            </w:r>
          </w:p>
          <w:p w:rsidR="008028E8" w:rsidRPr="00716F0E" w:rsidRDefault="008028E8" w:rsidP="00106FA1">
            <w:pPr>
              <w:widowControl w:val="0"/>
              <w:numPr>
                <w:ilvl w:val="0"/>
                <w:numId w:val="39"/>
              </w:numPr>
              <w:suppressAutoHyphens/>
              <w:spacing w:after="0" w:line="240" w:lineRule="auto"/>
              <w:ind w:left="229" w:hanging="229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 xml:space="preserve">monitor dotykowy (z rozdzielczością min. 1024x 768 [pikseli] i przekątną min. 6 [cali]) umieszczony nad </w:t>
            </w:r>
            <w:r w:rsidRPr="00716F0E">
              <w:rPr>
                <w:rFonts w:ascii="Century Gothic" w:hAnsi="Century Gothic" w:cs="Arial"/>
                <w:sz w:val="20"/>
                <w:szCs w:val="20"/>
              </w:rPr>
              <w:lastRenderedPageBreak/>
              <w:t>okularami operatora, umożliwiający pracę pod folia operacyjną,</w:t>
            </w:r>
          </w:p>
          <w:p w:rsidR="008028E8" w:rsidRPr="00716F0E" w:rsidRDefault="008028E8" w:rsidP="00106FA1">
            <w:pPr>
              <w:widowControl w:val="0"/>
              <w:numPr>
                <w:ilvl w:val="0"/>
                <w:numId w:val="39"/>
              </w:numPr>
              <w:suppressAutoHyphens/>
              <w:spacing w:after="0" w:line="240" w:lineRule="auto"/>
              <w:ind w:left="227" w:hanging="227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możliwość naprzemiennego wprowadzania w oba okulary obrazów pochodzących z urządzeń peryferyjnych oraz wyświetlania parametrów pracy (co najmniej powiększenie i dystans roboczy) na głowicy mikroskopu po stronie operatora.</w:t>
            </w:r>
          </w:p>
          <w:p w:rsidR="008028E8" w:rsidRPr="00716F0E" w:rsidRDefault="008028E8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eastAsia="Calibri" w:hAnsi="Century Gothic" w:cs="Arial"/>
                <w:sz w:val="20"/>
                <w:szCs w:val="20"/>
              </w:rPr>
              <w:t xml:space="preserve">Systemy powinny zapewniać co najmniej wprowadzanie obrazów z systemu IGS, sygnału video np. z endoskopu, </w:t>
            </w:r>
            <w:proofErr w:type="spellStart"/>
            <w:r w:rsidRPr="00716F0E">
              <w:rPr>
                <w:rFonts w:ascii="Century Gothic" w:eastAsia="Calibri" w:hAnsi="Century Gothic" w:cs="Arial"/>
                <w:sz w:val="20"/>
                <w:szCs w:val="20"/>
              </w:rPr>
              <w:t>neuromonitoringu</w:t>
            </w:r>
            <w:proofErr w:type="spellEnd"/>
            <w:r w:rsidRPr="00716F0E">
              <w:rPr>
                <w:rFonts w:ascii="Century Gothic" w:hAnsi="Century Gothic" w:cs="Arial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lastRenderedPageBreak/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8E8" w:rsidRPr="00716F0E" w:rsidRDefault="008028E8" w:rsidP="00065CE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16F0E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8028E8" w:rsidRPr="00C2669F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028E8" w:rsidRPr="008028E8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 xml:space="preserve">Kolorowa kamera video Full HD, w technologii 3CCD lub CMOS 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8E8" w:rsidRPr="00716F0E" w:rsidRDefault="008028E8" w:rsidP="00065CE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16F0E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8028E8" w:rsidRPr="00C2669F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028E8" w:rsidRPr="008028E8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Zintegrowany system zapisu obrazów i sekwencji video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8E8" w:rsidRPr="00716F0E" w:rsidRDefault="008028E8" w:rsidP="00065CE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16F0E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8028E8" w:rsidRPr="00C2669F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028E8" w:rsidRPr="008028E8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 xml:space="preserve">Zapis obrazów i sekwencji video – </w:t>
            </w:r>
            <w:proofErr w:type="spellStart"/>
            <w:r w:rsidRPr="00716F0E">
              <w:rPr>
                <w:rFonts w:ascii="Century Gothic" w:hAnsi="Century Gothic" w:cs="Arial"/>
                <w:sz w:val="20"/>
                <w:szCs w:val="20"/>
              </w:rPr>
              <w:t>full</w:t>
            </w:r>
            <w:proofErr w:type="spellEnd"/>
            <w:r w:rsidRPr="00716F0E">
              <w:rPr>
                <w:rFonts w:ascii="Century Gothic" w:hAnsi="Century Gothic" w:cs="Arial"/>
                <w:sz w:val="20"/>
                <w:szCs w:val="20"/>
              </w:rPr>
              <w:t xml:space="preserve"> HD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8E8" w:rsidRPr="00716F0E" w:rsidRDefault="008028E8" w:rsidP="00065CE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716F0E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716F0E">
              <w:rPr>
                <w:rFonts w:ascii="Century Gothic" w:hAnsi="Century Gothic" w:cs="Arial"/>
                <w:sz w:val="16"/>
                <w:szCs w:val="16"/>
              </w:rPr>
              <w:t>Tak – 2 pkt.</w:t>
            </w:r>
            <w:r>
              <w:rPr>
                <w:rFonts w:ascii="Century Gothic" w:hAnsi="Century Gothic" w:cs="Arial"/>
                <w:sz w:val="16"/>
                <w:szCs w:val="16"/>
              </w:rPr>
              <w:t xml:space="preserve">, </w:t>
            </w:r>
            <w:r w:rsidRPr="00716F0E">
              <w:rPr>
                <w:rFonts w:ascii="Century Gothic" w:hAnsi="Century Gothic" w:cs="Arial"/>
                <w:sz w:val="16"/>
                <w:szCs w:val="16"/>
              </w:rPr>
              <w:t>Nie – 0 pkt.</w:t>
            </w:r>
          </w:p>
        </w:tc>
      </w:tr>
      <w:tr w:rsidR="008028E8" w:rsidRPr="00C2669F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028E8" w:rsidRPr="008028E8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System zarządzania danymi pacjenta – w tym przechowywanie plików pacjenta z obrazami lub sekwencjami video (np. z urządzeń diagnostycznych) bezpośrednio w pamięci operacyjnej mikroskopu z możliwością ich szybkiego podglądu na monitorze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8E8" w:rsidRPr="00716F0E" w:rsidRDefault="008028E8" w:rsidP="00065CE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16F0E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8028E8" w:rsidRPr="00C2669F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028E8" w:rsidRPr="008028E8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 xml:space="preserve">Kolorowy monitor, klasy LCD, zintegrowany </w:t>
            </w:r>
          </w:p>
          <w:p w:rsidR="008028E8" w:rsidRPr="00716F0E" w:rsidRDefault="008028E8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z mikroskopem – przekątna min. 19 [‘]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8E8" w:rsidRPr="00716F0E" w:rsidRDefault="008028E8" w:rsidP="00065CE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16F0E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8028E8" w:rsidRPr="00C2669F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028E8" w:rsidRPr="008028E8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Możliwość regulacji ostrości na ekranie monitora niezależnie od ostrości w okularach mikroskopu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8E8" w:rsidRPr="00716F0E" w:rsidRDefault="008028E8" w:rsidP="00065CE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716F0E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716F0E">
              <w:rPr>
                <w:rFonts w:ascii="Century Gothic" w:hAnsi="Century Gothic" w:cs="Arial"/>
                <w:sz w:val="16"/>
                <w:szCs w:val="16"/>
              </w:rPr>
              <w:t>Tak – 1 pkt.</w:t>
            </w:r>
            <w:r>
              <w:rPr>
                <w:rFonts w:ascii="Century Gothic" w:hAnsi="Century Gothic" w:cs="Arial"/>
                <w:sz w:val="16"/>
                <w:szCs w:val="16"/>
              </w:rPr>
              <w:t xml:space="preserve">, </w:t>
            </w:r>
            <w:r w:rsidRPr="00716F0E">
              <w:rPr>
                <w:rFonts w:ascii="Century Gothic" w:hAnsi="Century Gothic" w:cs="Arial"/>
                <w:sz w:val="16"/>
                <w:szCs w:val="16"/>
              </w:rPr>
              <w:t>Nie – 0 pkt.</w:t>
            </w:r>
          </w:p>
        </w:tc>
      </w:tr>
      <w:tr w:rsidR="008028E8" w:rsidRPr="00C2669F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028E8" w:rsidRPr="008028E8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Monitor umieszczony na regulowanym ramieniu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8E8" w:rsidRPr="00716F0E" w:rsidRDefault="008028E8" w:rsidP="00065CE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716F0E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716F0E">
              <w:rPr>
                <w:rFonts w:ascii="Century Gothic" w:hAnsi="Century Gothic" w:cs="Arial"/>
                <w:sz w:val="16"/>
                <w:szCs w:val="16"/>
              </w:rPr>
              <w:t>Tak – 1 pkt.</w:t>
            </w:r>
            <w:r>
              <w:rPr>
                <w:rFonts w:ascii="Century Gothic" w:hAnsi="Century Gothic" w:cs="Arial"/>
                <w:sz w:val="16"/>
                <w:szCs w:val="16"/>
              </w:rPr>
              <w:t xml:space="preserve">, </w:t>
            </w:r>
            <w:r w:rsidRPr="00716F0E">
              <w:rPr>
                <w:rFonts w:ascii="Century Gothic" w:hAnsi="Century Gothic" w:cs="Arial"/>
                <w:sz w:val="16"/>
                <w:szCs w:val="16"/>
              </w:rPr>
              <w:t>Nie – 0 pkt.</w:t>
            </w:r>
          </w:p>
        </w:tc>
      </w:tr>
      <w:tr w:rsidR="008028E8" w:rsidRPr="00C2669F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028E8" w:rsidRPr="008028E8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 xml:space="preserve">Wizualizacja kontrastu ICG 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8E8" w:rsidRPr="00716F0E" w:rsidRDefault="008028E8" w:rsidP="008D75E9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16F0E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8028E8" w:rsidRPr="00C2669F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028E8" w:rsidRPr="008028E8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Pomiar przepływów naczyniowych w zabiegach naczyniowych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8E8" w:rsidRPr="00716F0E" w:rsidRDefault="008028E8" w:rsidP="00065CE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716F0E">
            <w:pPr>
              <w:pStyle w:val="Tekstpodstawowy"/>
              <w:spacing w:after="0" w:line="288" w:lineRule="auto"/>
              <w:rPr>
                <w:rFonts w:ascii="Century Gothic" w:hAnsi="Century Gothic" w:cs="Arial"/>
                <w:sz w:val="16"/>
                <w:szCs w:val="16"/>
                <w:lang w:eastAsia="en-US"/>
              </w:rPr>
            </w:pPr>
            <w:r w:rsidRPr="00716F0E">
              <w:rPr>
                <w:rFonts w:ascii="Century Gothic" w:hAnsi="Century Gothic" w:cs="Arial"/>
                <w:sz w:val="16"/>
                <w:szCs w:val="16"/>
                <w:lang w:eastAsia="en-US"/>
              </w:rPr>
              <w:t>Tak – 2 pkt.</w:t>
            </w:r>
            <w:r>
              <w:rPr>
                <w:rFonts w:ascii="Century Gothic" w:hAnsi="Century Gothic" w:cs="Arial"/>
                <w:sz w:val="16"/>
                <w:szCs w:val="16"/>
                <w:lang w:eastAsia="en-US"/>
              </w:rPr>
              <w:t xml:space="preserve">, </w:t>
            </w:r>
            <w:r w:rsidRPr="00716F0E">
              <w:rPr>
                <w:rFonts w:ascii="Century Gothic" w:hAnsi="Century Gothic" w:cs="Arial"/>
                <w:sz w:val="16"/>
                <w:szCs w:val="16"/>
                <w:lang w:eastAsia="en-US"/>
              </w:rPr>
              <w:t>Nie – 0 pkt.</w:t>
            </w:r>
          </w:p>
        </w:tc>
      </w:tr>
      <w:tr w:rsidR="008028E8" w:rsidRPr="00C2669F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028E8" w:rsidRPr="008028E8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 xml:space="preserve">Wizualizacja kontrastu z wykorzystaniem 5-ALA </w:t>
            </w:r>
          </w:p>
          <w:p w:rsidR="008028E8" w:rsidRPr="00716F0E" w:rsidRDefault="008028E8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 xml:space="preserve">w zabiegach usunięcia </w:t>
            </w:r>
            <w:proofErr w:type="spellStart"/>
            <w:r w:rsidRPr="00716F0E">
              <w:rPr>
                <w:rFonts w:ascii="Century Gothic" w:hAnsi="Century Gothic" w:cs="Arial"/>
                <w:sz w:val="20"/>
                <w:szCs w:val="20"/>
              </w:rPr>
              <w:t>glajaków</w:t>
            </w:r>
            <w:proofErr w:type="spellEnd"/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8E8" w:rsidRPr="00716F0E" w:rsidRDefault="008028E8" w:rsidP="008D75E9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16F0E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8028E8" w:rsidRPr="00C2669F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028E8" w:rsidRPr="008028E8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 xml:space="preserve">System odsysania powietrza z </w:t>
            </w:r>
            <w:proofErr w:type="spellStart"/>
            <w:r w:rsidRPr="00716F0E">
              <w:rPr>
                <w:rFonts w:ascii="Century Gothic" w:hAnsi="Century Gothic" w:cs="Arial"/>
                <w:sz w:val="20"/>
                <w:szCs w:val="20"/>
              </w:rPr>
              <w:t>obłożeń</w:t>
            </w:r>
            <w:proofErr w:type="spellEnd"/>
            <w:r w:rsidRPr="00716F0E">
              <w:rPr>
                <w:rFonts w:ascii="Century Gothic" w:hAnsi="Century Gothic" w:cs="Arial"/>
                <w:sz w:val="20"/>
                <w:szCs w:val="20"/>
              </w:rPr>
              <w:t xml:space="preserve"> operacyjnych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8E8" w:rsidRPr="00716F0E" w:rsidRDefault="008028E8" w:rsidP="00065CE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716F0E">
            <w:pPr>
              <w:pStyle w:val="Tekstpodstawowy"/>
              <w:spacing w:after="0" w:line="288" w:lineRule="auto"/>
              <w:rPr>
                <w:rFonts w:ascii="Century Gothic" w:hAnsi="Century Gothic" w:cs="Arial"/>
                <w:sz w:val="16"/>
                <w:szCs w:val="16"/>
                <w:lang w:eastAsia="en-US"/>
              </w:rPr>
            </w:pPr>
            <w:r w:rsidRPr="00716F0E">
              <w:rPr>
                <w:rFonts w:ascii="Century Gothic" w:hAnsi="Century Gothic" w:cs="Arial"/>
                <w:sz w:val="16"/>
                <w:szCs w:val="16"/>
                <w:lang w:eastAsia="en-US"/>
              </w:rPr>
              <w:t>Tak – 1 pkt.</w:t>
            </w:r>
            <w:r>
              <w:rPr>
                <w:rFonts w:ascii="Century Gothic" w:hAnsi="Century Gothic" w:cs="Arial"/>
                <w:sz w:val="16"/>
                <w:szCs w:val="16"/>
                <w:lang w:eastAsia="en-US"/>
              </w:rPr>
              <w:t xml:space="preserve">, </w:t>
            </w:r>
            <w:r w:rsidRPr="00716F0E">
              <w:rPr>
                <w:rFonts w:ascii="Century Gothic" w:hAnsi="Century Gothic" w:cs="Arial"/>
                <w:sz w:val="16"/>
                <w:szCs w:val="16"/>
                <w:lang w:eastAsia="en-US"/>
              </w:rPr>
              <w:t>Nie – 0 pkt.</w:t>
            </w:r>
          </w:p>
        </w:tc>
      </w:tr>
      <w:tr w:rsidR="008028E8" w:rsidRPr="00C2669F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028E8" w:rsidRPr="008028E8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Pedał nożny do sterowania funkcjami mikroskopu takimi jak: zoom, fokus, regulacja natężenia światła, XY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8E8" w:rsidRPr="00716F0E" w:rsidRDefault="008028E8" w:rsidP="00065CE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16F0E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8028E8" w:rsidRPr="00C2669F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028E8" w:rsidRPr="008028E8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W cenie oferty – obłożenia operacyjne</w:t>
            </w:r>
          </w:p>
          <w:p w:rsidR="008028E8" w:rsidRPr="00716F0E" w:rsidRDefault="008028E8" w:rsidP="00106FA1">
            <w:pPr>
              <w:spacing w:after="0" w:line="24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b/>
                <w:sz w:val="20"/>
                <w:szCs w:val="20"/>
              </w:rPr>
              <w:t>UWAGA:</w:t>
            </w:r>
            <w:r w:rsidRPr="00716F0E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 w:rsidRPr="00716F0E">
              <w:rPr>
                <w:rFonts w:ascii="Century Gothic" w:hAnsi="Century Gothic" w:cs="Arial"/>
                <w:i/>
                <w:sz w:val="20"/>
                <w:szCs w:val="20"/>
              </w:rPr>
              <w:t xml:space="preserve">należy dostarczyć min 40 [szt.] </w:t>
            </w:r>
            <w:proofErr w:type="spellStart"/>
            <w:r w:rsidRPr="00716F0E">
              <w:rPr>
                <w:rFonts w:ascii="Century Gothic" w:hAnsi="Century Gothic" w:cs="Arial"/>
                <w:i/>
                <w:sz w:val="20"/>
                <w:szCs w:val="20"/>
              </w:rPr>
              <w:t>obłożeń</w:t>
            </w:r>
            <w:proofErr w:type="spellEnd"/>
            <w:r w:rsidRPr="00716F0E">
              <w:rPr>
                <w:rFonts w:ascii="Century Gothic" w:hAnsi="Century Gothic" w:cs="Arial"/>
                <w:i/>
                <w:sz w:val="20"/>
                <w:szCs w:val="20"/>
              </w:rPr>
              <w:t xml:space="preserve"> operacyjnych do każdego mikroskopu.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16F0E">
              <w:rPr>
                <w:rFonts w:ascii="Century Gothic" w:hAnsi="Century Gothic" w:cs="Arial"/>
                <w:sz w:val="20"/>
                <w:szCs w:val="20"/>
              </w:rPr>
              <w:t>TAK</w:t>
            </w:r>
          </w:p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8E8" w:rsidRPr="00716F0E" w:rsidRDefault="008028E8" w:rsidP="00065CE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716F0E" w:rsidRDefault="008028E8" w:rsidP="008D75E9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16F0E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</w:tbl>
    <w:p w:rsidR="00D73EB9" w:rsidRDefault="00D73EB9" w:rsidP="00C2669F">
      <w:pPr>
        <w:spacing w:line="288" w:lineRule="auto"/>
        <w:rPr>
          <w:rFonts w:ascii="Century Gothic" w:hAnsi="Century Gothic"/>
        </w:rPr>
      </w:pPr>
    </w:p>
    <w:p w:rsidR="008A4119" w:rsidRDefault="008A4119" w:rsidP="00C2669F">
      <w:pPr>
        <w:spacing w:line="288" w:lineRule="auto"/>
        <w:rPr>
          <w:rFonts w:ascii="Century Gothic" w:hAnsi="Century Gothic"/>
        </w:rPr>
      </w:pPr>
    </w:p>
    <w:p w:rsidR="008A4119" w:rsidRPr="00C2669F" w:rsidRDefault="008A4119" w:rsidP="00C2669F">
      <w:pPr>
        <w:spacing w:line="288" w:lineRule="auto"/>
        <w:rPr>
          <w:rFonts w:ascii="Century Gothic" w:hAnsi="Century Gothic"/>
        </w:rPr>
      </w:pPr>
    </w:p>
    <w:p w:rsidR="008A4119" w:rsidRDefault="008A4119" w:rsidP="004B5E68">
      <w:pPr>
        <w:spacing w:after="0" w:line="288" w:lineRule="auto"/>
        <w:jc w:val="both"/>
        <w:rPr>
          <w:rFonts w:ascii="Century Gothic" w:hAnsi="Century Gothic"/>
          <w:b/>
          <w:color w:val="000000" w:themeColor="text1"/>
          <w:sz w:val="20"/>
          <w:szCs w:val="20"/>
        </w:rPr>
      </w:pPr>
    </w:p>
    <w:p w:rsidR="008A4119" w:rsidRDefault="008A4119" w:rsidP="004B5E68">
      <w:pPr>
        <w:spacing w:after="0" w:line="288" w:lineRule="auto"/>
        <w:jc w:val="both"/>
        <w:rPr>
          <w:rFonts w:ascii="Century Gothic" w:hAnsi="Century Gothic"/>
          <w:b/>
          <w:color w:val="000000" w:themeColor="text1"/>
          <w:sz w:val="20"/>
          <w:szCs w:val="20"/>
        </w:rPr>
      </w:pPr>
    </w:p>
    <w:p w:rsidR="004B5E68" w:rsidRDefault="00912D05" w:rsidP="004B5E68">
      <w:pPr>
        <w:spacing w:after="0" w:line="288" w:lineRule="auto"/>
        <w:jc w:val="both"/>
        <w:rPr>
          <w:rFonts w:ascii="Century Gothic" w:hAnsi="Century Gothic"/>
          <w:b/>
          <w:color w:val="000000" w:themeColor="text1"/>
          <w:sz w:val="20"/>
          <w:szCs w:val="20"/>
        </w:rPr>
      </w:pPr>
      <w:r w:rsidRPr="00912D05">
        <w:rPr>
          <w:rFonts w:ascii="Century Gothic" w:hAnsi="Century Gothic"/>
          <w:b/>
          <w:color w:val="000000" w:themeColor="text1"/>
          <w:sz w:val="20"/>
          <w:szCs w:val="20"/>
        </w:rPr>
        <w:lastRenderedPageBreak/>
        <w:t>Warunki gwarancji, serwisu i szkolenia</w:t>
      </w:r>
    </w:p>
    <w:p w:rsidR="00912D05" w:rsidRDefault="00912D05" w:rsidP="004B5E68">
      <w:pPr>
        <w:spacing w:after="0" w:line="288" w:lineRule="auto"/>
        <w:jc w:val="both"/>
        <w:rPr>
          <w:rFonts w:ascii="Century Gothic" w:hAnsi="Century Gothic"/>
          <w:b/>
          <w:color w:val="000000" w:themeColor="text1"/>
        </w:rPr>
      </w:pP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818"/>
        <w:gridCol w:w="1560"/>
        <w:gridCol w:w="4818"/>
        <w:gridCol w:w="2410"/>
      </w:tblGrid>
      <w:tr w:rsidR="004B5E6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LP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Default="004B5E68" w:rsidP="004B5E68">
            <w:pPr>
              <w:pStyle w:val="Nagwek3"/>
              <w:widowControl/>
              <w:numPr>
                <w:ilvl w:val="2"/>
                <w:numId w:val="40"/>
              </w:numPr>
              <w:shd w:val="clear" w:color="auto" w:fill="auto"/>
              <w:snapToGrid w:val="0"/>
              <w:spacing w:line="276" w:lineRule="auto"/>
              <w:ind w:left="0" w:right="0" w:firstLine="0"/>
              <w:rPr>
                <w:rFonts w:ascii="Century Gothic" w:hAnsi="Century Gothic"/>
                <w:color w:val="000000" w:themeColor="text1"/>
                <w:szCs w:val="20"/>
                <w:lang w:eastAsia="en-US"/>
              </w:rPr>
            </w:pPr>
            <w:r>
              <w:rPr>
                <w:rFonts w:ascii="Century Gothic" w:hAnsi="Century Gothic"/>
                <w:color w:val="000000" w:themeColor="text1"/>
                <w:szCs w:val="20"/>
                <w:lang w:eastAsia="en-US"/>
              </w:rPr>
              <w:t>PARAMETR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PARAMETR WYMAGANY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16"/>
                <w:szCs w:val="16"/>
              </w:rPr>
              <w:t>SPOSÓB OCENY</w:t>
            </w:r>
          </w:p>
        </w:tc>
      </w:tr>
      <w:tr w:rsidR="004B5E6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Default="004B5E68" w:rsidP="004B5E68">
            <w:pPr>
              <w:pStyle w:val="Akapitzlist"/>
              <w:numPr>
                <w:ilvl w:val="0"/>
                <w:numId w:val="41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Default="004B5E6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GWARANCJE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Default="004B5E68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Century Gothic" w:hAnsi="Century Gothic"/>
                <w:color w:val="000000" w:themeColor="text1"/>
                <w:lang w:eastAsia="en-US"/>
              </w:rPr>
            </w:pPr>
          </w:p>
        </w:tc>
      </w:tr>
      <w:tr w:rsidR="004B5E6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Default="004B5E68" w:rsidP="004B5E68">
            <w:pPr>
              <w:pStyle w:val="Akapitzlist"/>
              <w:numPr>
                <w:ilvl w:val="0"/>
                <w:numId w:val="41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Default="004B5E68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Okres pełnej, bez </w:t>
            </w:r>
            <w:proofErr w:type="spellStart"/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wyłączeń</w:t>
            </w:r>
            <w:proofErr w:type="spellEnd"/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gwarancji dla wszystkich zaoferowanych elementów wraz z urządzeniami peryferyjnymi (jeśli dotyczy)[liczba miesięcy]</w:t>
            </w:r>
          </w:p>
          <w:p w:rsidR="004B5E68" w:rsidRDefault="004B5E68">
            <w:pPr>
              <w:snapToGrid w:val="0"/>
              <w:spacing w:after="0" w:line="240" w:lineRule="auto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  <w:p w:rsidR="004B5E68" w:rsidRDefault="004B5E68">
            <w:pPr>
              <w:snapToGrid w:val="0"/>
              <w:spacing w:after="0" w:line="240" w:lineRule="auto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  <w:p w:rsidR="004B5E68" w:rsidRDefault="004B5E68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Calibri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i/>
                <w:iCs/>
                <w:color w:val="000000" w:themeColor="text1"/>
                <w:sz w:val="20"/>
                <w:szCs w:val="20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>
              <w:rPr>
                <w:rFonts w:ascii="Century Gothic" w:hAnsi="Century Gothic"/>
                <w:i/>
                <w:color w:val="000000" w:themeColor="text1"/>
                <w:sz w:val="20"/>
                <w:szCs w:val="20"/>
              </w:rPr>
              <w:t>Zamawiający zastrzega, że górną granicą punktacji gwarancji będzie 10 lat.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Default="00806F74" w:rsidP="00806F74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&gt;= 24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Default="004B5E68">
            <w:pPr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Najdłuższy okres – 30 pkt.</w:t>
            </w:r>
          </w:p>
          <w:p w:rsidR="004B5E6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Inne – proporcjonalnie mniej względem najdłuższego okresu</w:t>
            </w:r>
          </w:p>
        </w:tc>
      </w:tr>
      <w:tr w:rsidR="004B5E6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Default="004B5E68" w:rsidP="004B5E68">
            <w:pPr>
              <w:pStyle w:val="Akapitzlist"/>
              <w:numPr>
                <w:ilvl w:val="0"/>
                <w:numId w:val="41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Default="004B5E6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Gwarancja dostępności części zamiennych [liczba lat] – min. 8 lat (peryferyjny sprzęt komputerowy – min. 5 lat – dopuszcza się wymianę na sprzęt lepszy od zaoferowanego)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4B5E6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Default="004B5E68" w:rsidP="004B5E68">
            <w:pPr>
              <w:pStyle w:val="Akapitzlist"/>
              <w:numPr>
                <w:ilvl w:val="0"/>
                <w:numId w:val="41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Default="004B5E6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Przedłużenie okresu gwarancji o każdy dzień w czasie którego Zamawiający nie mógł korzystać z w pełni sprawnego sprzętu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4B5E6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Default="004B5E68" w:rsidP="004B5E68">
            <w:pPr>
              <w:pStyle w:val="Akapitzlist"/>
              <w:numPr>
                <w:ilvl w:val="0"/>
                <w:numId w:val="41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Default="004B5E6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WARUNKI SERWISU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color w:val="000000" w:themeColor="text1"/>
                <w:sz w:val="16"/>
                <w:szCs w:val="16"/>
                <w:lang w:eastAsia="ar-SA"/>
              </w:rPr>
            </w:pPr>
          </w:p>
        </w:tc>
      </w:tr>
      <w:tr w:rsidR="004B5E6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Default="004B5E68" w:rsidP="004B5E68">
            <w:pPr>
              <w:pStyle w:val="Akapitzlist"/>
              <w:numPr>
                <w:ilvl w:val="0"/>
                <w:numId w:val="41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Default="004B5E6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Zdalna diagnostyka przez chronione łącze </w:t>
            </w:r>
            <w:r>
              <w:rPr>
                <w:rFonts w:ascii="Century Gothic" w:hAnsi="Century Gothic" w:cs="Tahoma"/>
                <w:color w:val="000000" w:themeColor="text1"/>
                <w:sz w:val="20"/>
                <w:szCs w:val="20"/>
              </w:rPr>
              <w:t>z możliwością rejestracji i odczytu online rejestrów błędów, oraz monitorowaniem systemu</w:t>
            </w: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(uwaga – całość ewentualnych prac i wyposażenia sprzętowego, które będzie służyło tej funkcjonalności po stronie wykonawcy)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podać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Default="004B5E68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tak – 3 pkt.</w:t>
            </w:r>
          </w:p>
          <w:p w:rsidR="004B5E6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nie – 0 pkt.</w:t>
            </w:r>
          </w:p>
        </w:tc>
      </w:tr>
      <w:tr w:rsidR="004B5E6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Default="004B5E68" w:rsidP="004B5E68">
            <w:pPr>
              <w:pStyle w:val="Akapitzlist"/>
              <w:numPr>
                <w:ilvl w:val="0"/>
                <w:numId w:val="41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E68" w:rsidRDefault="004B5E68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 cenie oferty -  przeglądy okresowe w okresie gwarancji (w częstotliwości i w zakresie zgodnym z wymogami producenta).</w:t>
            </w:r>
          </w:p>
          <w:p w:rsidR="004B5E68" w:rsidRDefault="004B5E6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Obowiązkowy bezpłatny przegląd z końcem biegu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4B5E6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Default="004B5E68" w:rsidP="004B5E68">
            <w:pPr>
              <w:pStyle w:val="Akapitzlist"/>
              <w:numPr>
                <w:ilvl w:val="0"/>
                <w:numId w:val="41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E68" w:rsidRDefault="004B5E6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Wszystkie czynności serwisowe, w tym ponowne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4B5E6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Default="004B5E68" w:rsidP="004B5E68">
            <w:pPr>
              <w:pStyle w:val="Akapitzlist"/>
              <w:numPr>
                <w:ilvl w:val="0"/>
                <w:numId w:val="41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E68" w:rsidRDefault="004B5E68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Czas reakcji (dotyczy także reakcji zdalnej): „przyjęte zgłoszenie – podjęta naprawa” =&lt; 24 [godz.]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4B5E6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Default="004B5E68" w:rsidP="004B5E68">
            <w:pPr>
              <w:pStyle w:val="Akapitzlist"/>
              <w:numPr>
                <w:ilvl w:val="0"/>
                <w:numId w:val="41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E68" w:rsidRDefault="004B5E68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Możliwość zgłoszeń 24h/dobę, 365 dni/rok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4B5E6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Default="004B5E68" w:rsidP="004B5E68">
            <w:pPr>
              <w:pStyle w:val="Akapitzlist"/>
              <w:numPr>
                <w:ilvl w:val="0"/>
                <w:numId w:val="41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E68" w:rsidRDefault="004B5E68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Wymiana każdego podzespołu na nowy po pierwszej  nieskutecznej próbie jego naprawy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4B5E6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Default="004B5E68" w:rsidP="004B5E68">
            <w:pPr>
              <w:pStyle w:val="Akapitzlist"/>
              <w:numPr>
                <w:ilvl w:val="0"/>
                <w:numId w:val="41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E68" w:rsidRDefault="004B5E6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Zakończenie działań serwisowych – do 3 dni roboczych od dnia zgłoszenia awarii, a w przypadku konieczności importu części zamiennych, nie dłuższym niż 7 dni roboczych od dnia zgłoszenia awarii.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4B5E6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Default="004B5E68" w:rsidP="004B5E68">
            <w:pPr>
              <w:pStyle w:val="Akapitzlist"/>
              <w:numPr>
                <w:ilvl w:val="0"/>
                <w:numId w:val="41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Default="004B5E6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Struktura serwisowa gwarantująca realizację wymogów stawianych w niniejszej specyfikacji lub udokumentowana/uprawdopodobniona dokumentami możliwość gwarancji realizacji wymogów stawianych w niniejszej specyfikacji – należy podać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4B5E6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Default="004B5E68" w:rsidP="004B5E68">
            <w:pPr>
              <w:pStyle w:val="Akapitzlist"/>
              <w:numPr>
                <w:ilvl w:val="0"/>
                <w:numId w:val="41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Default="004B5E68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Sprzęt/y będzie/będą pozbawione haseł, kodów, blokad serwisowych, itp., które po upływie gwarancji utrudniałyby Zamawiającemu dostęp do opcji serwisowych lub naprawę sprzętu/ów przez inny niż Wykonawca umowy podmiot, w przypadku nie korzystania przez zamawiającego z serwisu pogwarancyjnego Wykonawcy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4B5E6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Default="004B5E68" w:rsidP="004B5E68">
            <w:pPr>
              <w:pStyle w:val="Akapitzlist"/>
              <w:numPr>
                <w:ilvl w:val="0"/>
                <w:numId w:val="41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Default="004B5E6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SZKOLENIA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</w:p>
        </w:tc>
      </w:tr>
      <w:tr w:rsidR="00912D05" w:rsidTr="00912D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05" w:rsidRDefault="00912D05" w:rsidP="004B5E68">
            <w:pPr>
              <w:pStyle w:val="Akapitzlist"/>
              <w:numPr>
                <w:ilvl w:val="0"/>
                <w:numId w:val="41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D05" w:rsidRDefault="00912D05" w:rsidP="007C609C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Szkolenia dla personelu  medycznego z zakresu obsługi urządzenia (min. 16 osób z możliwością podziału i szkolenia w mniejszych podgrupach) w momencie jego instalacji i odbioru; w razie potrzeby Zamawiającego, możliwość stałego wsparcia aplikacyjnego w początkowym (do 6  -</w:t>
            </w:r>
            <w:proofErr w:type="spellStart"/>
            <w:r>
              <w:rPr>
                <w:rFonts w:ascii="Century Gothic" w:hAnsi="Century Gothic"/>
                <w:sz w:val="20"/>
                <w:szCs w:val="20"/>
              </w:rPr>
              <w:t>ciu</w:t>
            </w:r>
            <w:proofErr w:type="spellEnd"/>
            <w:r>
              <w:rPr>
                <w:rFonts w:ascii="Century Gothic" w:hAnsi="Century Gothic"/>
                <w:sz w:val="20"/>
                <w:szCs w:val="20"/>
              </w:rPr>
              <w:t xml:space="preserve">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D05" w:rsidRDefault="00912D05" w:rsidP="007C609C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05" w:rsidRDefault="00912D05" w:rsidP="007C609C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D05" w:rsidRDefault="00912D05" w:rsidP="007C609C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912D05" w:rsidTr="00912D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05" w:rsidRDefault="00912D05" w:rsidP="004B5E68">
            <w:pPr>
              <w:pStyle w:val="Akapitzlist"/>
              <w:numPr>
                <w:ilvl w:val="0"/>
                <w:numId w:val="41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D05" w:rsidRDefault="00912D05" w:rsidP="007C609C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Szkolenia dla personelu technicznego (min. 4 osoby) z zakresu podstawowej diagnostyki stanu technicznego i wykonywania podstawowych czynności konserwacyjnych, diagnostycznych i przeglądowych; w razie potrzeby możliwość stałego wsparcia aplikacyjnego w początkowym (do 6-iu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D05" w:rsidRDefault="00912D05" w:rsidP="007C609C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05" w:rsidRDefault="00912D05" w:rsidP="007C609C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D05" w:rsidRDefault="00912D05" w:rsidP="007C609C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912D05" w:rsidTr="00912D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05" w:rsidRDefault="00912D05" w:rsidP="004B5E68">
            <w:pPr>
              <w:pStyle w:val="Akapitzlist"/>
              <w:numPr>
                <w:ilvl w:val="0"/>
                <w:numId w:val="41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D05" w:rsidRDefault="00912D05" w:rsidP="007C609C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Szkolenia dla personelu informatycznego umożliwiania zdalnej diagnostyki, wymagań konferencyjnych, wpięcia urządzenia w system gromadzenia dokumentacji medycznej szpitala, diagnostyki i konfiguracji (min. 3 osoby)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D05" w:rsidRDefault="00912D05" w:rsidP="007C609C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05" w:rsidRDefault="00912D05" w:rsidP="007C609C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D05" w:rsidRDefault="00912D05" w:rsidP="007C609C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912D05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05" w:rsidRDefault="00912D05" w:rsidP="004B5E68">
            <w:pPr>
              <w:pStyle w:val="Akapitzlist"/>
              <w:numPr>
                <w:ilvl w:val="0"/>
                <w:numId w:val="41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D05" w:rsidRDefault="00912D05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Liczba i okres szkoleń:</w:t>
            </w:r>
          </w:p>
          <w:p w:rsidR="00912D05" w:rsidRDefault="00912D05" w:rsidP="004B5E68">
            <w:pPr>
              <w:numPr>
                <w:ilvl w:val="0"/>
                <w:numId w:val="45"/>
              </w:numPr>
              <w:tabs>
                <w:tab w:val="num" w:pos="720"/>
              </w:tabs>
              <w:spacing w:after="0" w:line="240" w:lineRule="auto"/>
              <w:ind w:left="0" w:firstLine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pierwsze szkolenie - tuż po instalacji systemu, w wymiarze do 2 dni roboczych </w:t>
            </w:r>
          </w:p>
          <w:p w:rsidR="00912D05" w:rsidRDefault="00912D05" w:rsidP="004B5E68">
            <w:pPr>
              <w:numPr>
                <w:ilvl w:val="0"/>
                <w:numId w:val="45"/>
              </w:numPr>
              <w:tabs>
                <w:tab w:val="num" w:pos="720"/>
              </w:tabs>
              <w:spacing w:after="0" w:line="240" w:lineRule="auto"/>
              <w:ind w:left="0" w:firstLine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dodatkowe, w razie potrze</w:t>
            </w:r>
            <w:r w:rsidR="008A4119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by, w innym terminie ustalonym </w:t>
            </w: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z kierownikiem pracowni,</w:t>
            </w:r>
          </w:p>
          <w:p w:rsidR="00912D05" w:rsidRDefault="00912D05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Uwaga – szkolenia dodatkowe dla wszystkich grup w co najmniej takiej samej liczbie osób jak podano w powyższych punktach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D05" w:rsidRDefault="00912D0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05" w:rsidRDefault="00912D0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D05" w:rsidRDefault="00912D0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912D05" w:rsidTr="008A4119">
        <w:trPr>
          <w:trHeight w:val="39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05" w:rsidRDefault="00912D05" w:rsidP="004B5E68">
            <w:pPr>
              <w:pStyle w:val="Akapitzlist"/>
              <w:numPr>
                <w:ilvl w:val="0"/>
                <w:numId w:val="41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D05" w:rsidRDefault="00912D0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DOKUMENTACJA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D05" w:rsidRDefault="00912D0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D05" w:rsidRDefault="00912D05" w:rsidP="008A4119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b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D05" w:rsidRDefault="00912D05" w:rsidP="008A4119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</w:p>
        </w:tc>
      </w:tr>
      <w:tr w:rsidR="00912D05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05" w:rsidRDefault="00912D05" w:rsidP="004B5E68">
            <w:pPr>
              <w:pStyle w:val="Akapitzlist"/>
              <w:numPr>
                <w:ilvl w:val="0"/>
                <w:numId w:val="41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D05" w:rsidRDefault="00912D0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Century Gothic" w:eastAsia="Calibri" w:hAnsi="Century Gothic" w:cs="Tahoma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 w:cs="Tahoma"/>
                <w:color w:val="000000" w:themeColor="text1"/>
                <w:sz w:val="20"/>
                <w:szCs w:val="20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D05" w:rsidRDefault="00912D0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05" w:rsidRDefault="00912D0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D05" w:rsidRDefault="00912D0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912D05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05" w:rsidRDefault="00912D05" w:rsidP="004B5E68">
            <w:pPr>
              <w:pStyle w:val="Akapitzlist"/>
              <w:numPr>
                <w:ilvl w:val="0"/>
                <w:numId w:val="41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D05" w:rsidRDefault="00912D0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D05" w:rsidRDefault="00912D0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05" w:rsidRDefault="00912D0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D05" w:rsidRDefault="00912D0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912D05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05" w:rsidRDefault="00912D05" w:rsidP="004B5E68">
            <w:pPr>
              <w:pStyle w:val="Akapitzlist"/>
              <w:numPr>
                <w:ilvl w:val="0"/>
                <w:numId w:val="41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D05" w:rsidRDefault="00912D05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Dokumentacja (lub tzw. lista kontrolna zawierająca wykaz części i czynności) dotycząca przeglądów technicznych w języku polskim (dostarczona przy dostawie)</w:t>
            </w:r>
          </w:p>
          <w:p w:rsidR="00912D05" w:rsidRDefault="00912D0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D05" w:rsidRDefault="00912D0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05" w:rsidRDefault="00912D0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D05" w:rsidRDefault="00912D0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912D05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05" w:rsidRDefault="00912D05" w:rsidP="004B5E68">
            <w:pPr>
              <w:pStyle w:val="Akapitzlist"/>
              <w:numPr>
                <w:ilvl w:val="0"/>
                <w:numId w:val="41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D05" w:rsidRDefault="00912D0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Z urządzeniem wykonawca dostarczy paszport techniczny zawierający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D05" w:rsidRDefault="00912D0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05" w:rsidRDefault="00912D0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D05" w:rsidRDefault="00912D0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912D05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05" w:rsidRDefault="00912D05" w:rsidP="004B5E68">
            <w:pPr>
              <w:pStyle w:val="Akapitzlist"/>
              <w:numPr>
                <w:ilvl w:val="0"/>
                <w:numId w:val="41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D05" w:rsidRDefault="00912D05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Instrukcja konserwacji, mycia, dezynfekcji i sterylizacji dla zaoferowanych elementów 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D05" w:rsidRDefault="00912D0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05" w:rsidRDefault="00912D0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D05" w:rsidRDefault="00912D0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912D05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05" w:rsidRDefault="00912D05" w:rsidP="004B5E68">
            <w:pPr>
              <w:pStyle w:val="Akapitzlist"/>
              <w:numPr>
                <w:ilvl w:val="0"/>
                <w:numId w:val="41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D05" w:rsidRDefault="00912D05">
            <w:pPr>
              <w:spacing w:after="0" w:line="240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Możliwość mycia i dezynfekcji poszczególnych elementów aparatów w oparciu o przedstawione przez wykonawcę zalecane preparaty myjące i dezynfekujące.</w:t>
            </w:r>
          </w:p>
          <w:p w:rsidR="00912D05" w:rsidRDefault="00912D05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Calibri"/>
                <w:i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i/>
                <w:color w:val="000000" w:themeColor="text1"/>
                <w:sz w:val="16"/>
                <w:szCs w:val="16"/>
              </w:rPr>
              <w:t>UWAGA – zalecane środki powinny zawierać nazwy związków chemicznych, a nie tylko nazwy handlowe preparatów.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D05" w:rsidRDefault="00912D0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05" w:rsidRDefault="00912D0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D05" w:rsidRDefault="00912D0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  <w:lang w:eastAsia="ar-SA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</w:tbl>
    <w:p w:rsidR="004B5E68" w:rsidRDefault="004B5E68" w:rsidP="004B5E68">
      <w:pPr>
        <w:spacing w:after="0" w:line="288" w:lineRule="auto"/>
        <w:rPr>
          <w:rFonts w:ascii="Century Gothic" w:eastAsia="Calibri" w:hAnsi="Century Gothic" w:cs="Calibri"/>
          <w:b/>
          <w:color w:val="000000" w:themeColor="text1"/>
          <w:lang w:eastAsia="ar-SA"/>
        </w:rPr>
      </w:pPr>
    </w:p>
    <w:p w:rsidR="00D73EB9" w:rsidRPr="00C2669F" w:rsidRDefault="00D73EB9" w:rsidP="004B5E68">
      <w:pPr>
        <w:spacing w:after="0" w:line="288" w:lineRule="auto"/>
        <w:jc w:val="both"/>
        <w:rPr>
          <w:rFonts w:ascii="Century Gothic" w:hAnsi="Century Gothic"/>
          <w:b/>
        </w:rPr>
      </w:pPr>
      <w:bookmarkStart w:id="0" w:name="_GoBack"/>
      <w:bookmarkEnd w:id="0"/>
    </w:p>
    <w:sectPr w:rsidR="00D73EB9" w:rsidRPr="00C2669F" w:rsidSect="00D73EB9">
      <w:headerReference w:type="default" r:id="rId9"/>
      <w:foot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786E" w:rsidRDefault="00E2786E" w:rsidP="002B10C5">
      <w:pPr>
        <w:spacing w:after="0" w:line="240" w:lineRule="auto"/>
      </w:pPr>
      <w:r>
        <w:separator/>
      </w:r>
    </w:p>
  </w:endnote>
  <w:endnote w:type="continuationSeparator" w:id="0">
    <w:p w:rsidR="00E2786E" w:rsidRDefault="00E2786E" w:rsidP="002B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94792831"/>
      <w:docPartObj>
        <w:docPartGallery w:val="Page Numbers (Bottom of Page)"/>
        <w:docPartUnique/>
      </w:docPartObj>
    </w:sdtPr>
    <w:sdtEndPr/>
    <w:sdtContent>
      <w:p w:rsidR="002B10C5" w:rsidRDefault="002B10C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7EF9">
          <w:rPr>
            <w:noProof/>
          </w:rPr>
          <w:t>14</w:t>
        </w:r>
        <w:r>
          <w:fldChar w:fldCharType="end"/>
        </w:r>
      </w:p>
    </w:sdtContent>
  </w:sdt>
  <w:p w:rsidR="000A70CE" w:rsidRPr="000A70CE" w:rsidRDefault="000A70CE" w:rsidP="000A70CE">
    <w:pPr>
      <w:widowControl w:val="0"/>
      <w:tabs>
        <w:tab w:val="left" w:pos="9214"/>
        <w:tab w:val="left" w:pos="9639"/>
      </w:tabs>
      <w:suppressAutoHyphens/>
      <w:autoSpaceDE w:val="0"/>
      <w:spacing w:after="0" w:line="240" w:lineRule="auto"/>
      <w:ind w:left="4140" w:hanging="1163"/>
      <w:jc w:val="center"/>
      <w:rPr>
        <w:rFonts w:ascii="Times New Roman" w:eastAsia="Times New Roman" w:hAnsi="Times New Roman" w:cs="Times New Roman"/>
        <w:i/>
        <w:iCs/>
        <w:sz w:val="20"/>
        <w:szCs w:val="24"/>
        <w:lang w:eastAsia="pl-PL"/>
      </w:rPr>
    </w:pPr>
    <w:r>
      <w:rPr>
        <w:rFonts w:ascii="Times New Roman" w:eastAsia="Times New Roman" w:hAnsi="Times New Roman" w:cs="Times New Roman"/>
        <w:i/>
        <w:iCs/>
        <w:sz w:val="20"/>
        <w:szCs w:val="24"/>
        <w:lang w:eastAsia="pl-PL"/>
      </w:rPr>
      <w:t xml:space="preserve">                                                    </w:t>
    </w:r>
    <w:r w:rsidRPr="000A70CE">
      <w:rPr>
        <w:rFonts w:ascii="Times New Roman" w:eastAsia="Times New Roman" w:hAnsi="Times New Roman" w:cs="Times New Roman"/>
        <w:i/>
        <w:iCs/>
        <w:sz w:val="20"/>
        <w:szCs w:val="24"/>
        <w:lang w:eastAsia="pl-PL"/>
      </w:rPr>
      <w:t>..................................................................................................................................</w:t>
    </w:r>
  </w:p>
  <w:p w:rsidR="000A70CE" w:rsidRPr="000A70CE" w:rsidRDefault="000A70CE" w:rsidP="000A70CE">
    <w:pPr>
      <w:tabs>
        <w:tab w:val="left" w:pos="9214"/>
        <w:tab w:val="left" w:pos="9639"/>
      </w:tabs>
      <w:spacing w:after="0" w:line="240" w:lineRule="auto"/>
      <w:ind w:left="3686"/>
      <w:jc w:val="center"/>
      <w:rPr>
        <w:rFonts w:ascii="Times New Roman" w:eastAsia="Times New Roman" w:hAnsi="Times New Roman" w:cs="Times New Roman"/>
        <w:bCs/>
        <w:i/>
        <w:iCs/>
        <w:sz w:val="18"/>
        <w:szCs w:val="18"/>
        <w:lang w:eastAsia="pl-PL"/>
      </w:rPr>
    </w:pPr>
    <w:r w:rsidRPr="000A70CE">
      <w:rPr>
        <w:rFonts w:ascii="Times New Roman" w:eastAsia="Times New Roman" w:hAnsi="Times New Roman" w:cs="Times New Roman"/>
        <w:i/>
        <w:iCs/>
        <w:sz w:val="18"/>
        <w:szCs w:val="18"/>
        <w:lang w:eastAsia="pl-PL"/>
      </w:rPr>
      <w:t xml:space="preserve">                                                    podpis i pieczęć osoby (osób) upoważnionej do reprezentowania Wykonawcy</w:t>
    </w:r>
  </w:p>
  <w:p w:rsidR="002B10C5" w:rsidRDefault="002B10C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786E" w:rsidRDefault="00E2786E" w:rsidP="002B10C5">
      <w:pPr>
        <w:spacing w:after="0" w:line="240" w:lineRule="auto"/>
      </w:pPr>
      <w:r>
        <w:separator/>
      </w:r>
    </w:p>
  </w:footnote>
  <w:footnote w:type="continuationSeparator" w:id="0">
    <w:p w:rsidR="00E2786E" w:rsidRDefault="00E2786E" w:rsidP="002B1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4119" w:rsidRDefault="008A4119" w:rsidP="008A4119">
    <w:pPr>
      <w:pStyle w:val="Nagwek"/>
      <w:jc w:val="center"/>
      <w:rPr>
        <w:sz w:val="18"/>
        <w:szCs w:val="18"/>
      </w:rPr>
    </w:pPr>
    <w:r>
      <w:rPr>
        <w:noProof/>
        <w:sz w:val="18"/>
        <w:szCs w:val="18"/>
      </w:rPr>
      <w:drawing>
        <wp:inline distT="0" distB="0" distL="0" distR="0" wp14:anchorId="3E1DABD4" wp14:editId="1355C13B">
          <wp:extent cx="7578090" cy="865505"/>
          <wp:effectExtent l="0" t="0" r="381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0A70CE" w:rsidRPr="000A70CE" w:rsidRDefault="008A4119" w:rsidP="008A4119">
    <w:pPr>
      <w:pStyle w:val="Nagwek"/>
      <w:jc w:val="center"/>
      <w:rPr>
        <w:sz w:val="18"/>
        <w:szCs w:val="18"/>
      </w:rPr>
    </w:pPr>
    <w:r>
      <w:rPr>
        <w:sz w:val="18"/>
        <w:szCs w:val="18"/>
      </w:rPr>
      <w:t xml:space="preserve">                                                                                                                                                                                                                                 </w:t>
    </w:r>
    <w:r w:rsidR="000A70CE" w:rsidRPr="000A70CE">
      <w:rPr>
        <w:sz w:val="18"/>
        <w:szCs w:val="18"/>
      </w:rPr>
      <w:t>Załącznik nr 1a do specyfikacji</w:t>
    </w:r>
  </w:p>
  <w:p w:rsidR="000A70CE" w:rsidRPr="000A70CE" w:rsidRDefault="000A70CE" w:rsidP="000A70CE">
    <w:pPr>
      <w:pStyle w:val="Nagwek"/>
      <w:rPr>
        <w:sz w:val="18"/>
        <w:szCs w:val="18"/>
      </w:rPr>
    </w:pPr>
    <w:r>
      <w:rPr>
        <w:sz w:val="18"/>
        <w:szCs w:val="18"/>
      </w:rPr>
      <w:t xml:space="preserve">    NSSU.DFP.271.3.2018.BZ                                                                                                                                                                                       </w:t>
    </w:r>
    <w:r w:rsidRPr="000A70CE">
      <w:rPr>
        <w:sz w:val="18"/>
        <w:szCs w:val="18"/>
      </w:rPr>
      <w:t>Załącznik nr…..… do umowy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ABCC2D8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375"/>
        </w:tabs>
        <w:ind w:left="375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735"/>
        </w:tabs>
        <w:ind w:left="73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95"/>
        </w:tabs>
        <w:ind w:left="1095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455"/>
        </w:tabs>
        <w:ind w:left="1455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1815"/>
        </w:tabs>
        <w:ind w:left="181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75"/>
        </w:tabs>
        <w:ind w:left="2175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535"/>
        </w:tabs>
        <w:ind w:left="2535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2895"/>
        </w:tabs>
        <w:ind w:left="289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55"/>
        </w:tabs>
        <w:ind w:left="3255" w:hanging="360"/>
      </w:pPr>
      <w:rPr>
        <w:rFonts w:ascii="OpenSymbol" w:hAnsi="OpenSymbol" w:cs="OpenSymbol"/>
      </w:rPr>
    </w:lvl>
  </w:abstractNum>
  <w:abstractNum w:abstractNumId="3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4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cs="Tahoma"/>
      </w:rPr>
    </w:lvl>
  </w:abstractNum>
  <w:abstractNum w:abstractNumId="5">
    <w:nsid w:val="02D60B5D"/>
    <w:multiLevelType w:val="hybridMultilevel"/>
    <w:tmpl w:val="907C91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4364DD3"/>
    <w:multiLevelType w:val="multilevel"/>
    <w:tmpl w:val="6BB801C0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7">
    <w:nsid w:val="04590095"/>
    <w:multiLevelType w:val="multilevel"/>
    <w:tmpl w:val="13AE47F0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8">
    <w:nsid w:val="0C013FCF"/>
    <w:multiLevelType w:val="hybridMultilevel"/>
    <w:tmpl w:val="755A9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4D252D"/>
    <w:multiLevelType w:val="hybridMultilevel"/>
    <w:tmpl w:val="F12E2E44"/>
    <w:lvl w:ilvl="0" w:tplc="304A13C6">
      <w:start w:val="1"/>
      <w:numFmt w:val="bullet"/>
      <w:lvlText w:val=""/>
      <w:lvlJc w:val="left"/>
      <w:pPr>
        <w:ind w:left="720" w:hanging="360"/>
      </w:pPr>
      <w:rPr>
        <w:rFonts w:ascii="Symbol" w:eastAsia="Andale Sans U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D9A70E3"/>
    <w:multiLevelType w:val="hybridMultilevel"/>
    <w:tmpl w:val="DD0CD202"/>
    <w:lvl w:ilvl="0" w:tplc="EC60AF68">
      <w:start w:val="1"/>
      <w:numFmt w:val="bullet"/>
      <w:lvlText w:val=""/>
      <w:lvlJc w:val="left"/>
      <w:pPr>
        <w:ind w:left="720" w:hanging="360"/>
      </w:pPr>
      <w:rPr>
        <w:rFonts w:ascii="Symbol" w:eastAsia="Andale Sans U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F1A14A8"/>
    <w:multiLevelType w:val="hybridMultilevel"/>
    <w:tmpl w:val="624684E0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0F25277D"/>
    <w:multiLevelType w:val="hybridMultilevel"/>
    <w:tmpl w:val="907C91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60A30BE"/>
    <w:multiLevelType w:val="hybridMultilevel"/>
    <w:tmpl w:val="E8580B28"/>
    <w:lvl w:ilvl="0" w:tplc="3E7C9506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78216DE"/>
    <w:multiLevelType w:val="hybridMultilevel"/>
    <w:tmpl w:val="1674CD26"/>
    <w:lvl w:ilvl="0" w:tplc="D370FB6C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AE60F2C"/>
    <w:multiLevelType w:val="hybridMultilevel"/>
    <w:tmpl w:val="77825176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1E280E4D"/>
    <w:multiLevelType w:val="hybridMultilevel"/>
    <w:tmpl w:val="A79CBA68"/>
    <w:lvl w:ilvl="0" w:tplc="14648F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C417999"/>
    <w:multiLevelType w:val="hybridMultilevel"/>
    <w:tmpl w:val="8B3C232A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2CBF65E6"/>
    <w:multiLevelType w:val="hybridMultilevel"/>
    <w:tmpl w:val="D1182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5B15F1"/>
    <w:multiLevelType w:val="hybridMultilevel"/>
    <w:tmpl w:val="E1063790"/>
    <w:lvl w:ilvl="0" w:tplc="14648F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2C72972"/>
    <w:multiLevelType w:val="hybridMultilevel"/>
    <w:tmpl w:val="BCC8C916"/>
    <w:lvl w:ilvl="0" w:tplc="6E74D68E">
      <w:start w:val="1"/>
      <w:numFmt w:val="bullet"/>
      <w:lvlText w:val=""/>
      <w:lvlJc w:val="left"/>
      <w:pPr>
        <w:ind w:left="720" w:hanging="360"/>
      </w:pPr>
      <w:rPr>
        <w:rFonts w:ascii="Symbol" w:eastAsia="Andale Sans U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3697823"/>
    <w:multiLevelType w:val="hybridMultilevel"/>
    <w:tmpl w:val="A4B09480"/>
    <w:lvl w:ilvl="0" w:tplc="9160755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6F46940"/>
    <w:multiLevelType w:val="hybridMultilevel"/>
    <w:tmpl w:val="03566B12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24">
    <w:nsid w:val="397B55A9"/>
    <w:multiLevelType w:val="hybridMultilevel"/>
    <w:tmpl w:val="E8A811B2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42C963F8"/>
    <w:multiLevelType w:val="hybridMultilevel"/>
    <w:tmpl w:val="D1C4F0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7C17B3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460F7DAE"/>
    <w:multiLevelType w:val="hybridMultilevel"/>
    <w:tmpl w:val="87A8DA1A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46FB56C7"/>
    <w:multiLevelType w:val="hybridMultilevel"/>
    <w:tmpl w:val="C5886F82"/>
    <w:lvl w:ilvl="0" w:tplc="DBE2E650">
      <w:start w:val="1"/>
      <w:numFmt w:val="bullet"/>
      <w:lvlText w:val=""/>
      <w:lvlJc w:val="left"/>
      <w:pPr>
        <w:ind w:left="10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29">
    <w:nsid w:val="482875BA"/>
    <w:multiLevelType w:val="hybridMultilevel"/>
    <w:tmpl w:val="1674CD26"/>
    <w:lvl w:ilvl="0" w:tplc="D370FB6C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FA941E3"/>
    <w:multiLevelType w:val="hybridMultilevel"/>
    <w:tmpl w:val="24901AB2"/>
    <w:lvl w:ilvl="0" w:tplc="7CD80F52">
      <w:start w:val="12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FBE6B86"/>
    <w:multiLevelType w:val="hybridMultilevel"/>
    <w:tmpl w:val="6CD0CF68"/>
    <w:lvl w:ilvl="0" w:tplc="38046F5A">
      <w:numFmt w:val="bullet"/>
      <w:lvlText w:val="-"/>
      <w:lvlJc w:val="left"/>
      <w:pPr>
        <w:ind w:left="720" w:hanging="360"/>
      </w:pPr>
      <w:rPr>
        <w:rFonts w:ascii="Century Gothic" w:eastAsia="Lucida Sans Unicode" w:hAnsi="Century Gothic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21669BA"/>
    <w:multiLevelType w:val="multilevel"/>
    <w:tmpl w:val="F8FA52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5597A6A"/>
    <w:multiLevelType w:val="hybridMultilevel"/>
    <w:tmpl w:val="127683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5B428AE"/>
    <w:multiLevelType w:val="hybridMultilevel"/>
    <w:tmpl w:val="4F305088"/>
    <w:lvl w:ilvl="0" w:tplc="E3888CBA"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7B61AC1"/>
    <w:multiLevelType w:val="hybridMultilevel"/>
    <w:tmpl w:val="2B90AEFC"/>
    <w:lvl w:ilvl="0" w:tplc="DBE2E65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6">
    <w:nsid w:val="588539B5"/>
    <w:multiLevelType w:val="hybridMultilevel"/>
    <w:tmpl w:val="0D027A0C"/>
    <w:lvl w:ilvl="0" w:tplc="DBE2E650">
      <w:start w:val="1"/>
      <w:numFmt w:val="bullet"/>
      <w:lvlText w:val=""/>
      <w:lvlJc w:val="left"/>
      <w:pPr>
        <w:ind w:left="10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37">
    <w:nsid w:val="5A7C1C9A"/>
    <w:multiLevelType w:val="hybridMultilevel"/>
    <w:tmpl w:val="552E3EA6"/>
    <w:lvl w:ilvl="0" w:tplc="0CAC8DB8"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FD531F2"/>
    <w:multiLevelType w:val="hybridMultilevel"/>
    <w:tmpl w:val="7A801B3A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64A27989"/>
    <w:multiLevelType w:val="hybridMultilevel"/>
    <w:tmpl w:val="7E26F7D8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69FA5807"/>
    <w:multiLevelType w:val="hybridMultilevel"/>
    <w:tmpl w:val="D4F6635E"/>
    <w:lvl w:ilvl="0" w:tplc="92D80F42">
      <w:start w:val="120"/>
      <w:numFmt w:val="bullet"/>
      <w:lvlText w:val="-"/>
      <w:lvlJc w:val="left"/>
      <w:pPr>
        <w:ind w:left="720" w:hanging="360"/>
      </w:pPr>
      <w:rPr>
        <w:rFonts w:ascii="Century Gothic" w:eastAsia="Andale Sans UI" w:hAnsi="Century Gothic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F887CC6"/>
    <w:multiLevelType w:val="hybridMultilevel"/>
    <w:tmpl w:val="21B44B72"/>
    <w:lvl w:ilvl="0" w:tplc="10085A1A">
      <w:start w:val="12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21"/>
  </w:num>
  <w:num w:numId="6">
    <w:abstractNumId w:val="25"/>
  </w:num>
  <w:num w:numId="7">
    <w:abstractNumId w:val="10"/>
  </w:num>
  <w:num w:numId="8">
    <w:abstractNumId w:val="9"/>
  </w:num>
  <w:num w:numId="9">
    <w:abstractNumId w:val="20"/>
  </w:num>
  <w:num w:numId="10">
    <w:abstractNumId w:val="13"/>
  </w:num>
  <w:num w:numId="11">
    <w:abstractNumId w:val="33"/>
  </w:num>
  <w:num w:numId="12">
    <w:abstractNumId w:val="14"/>
  </w:num>
  <w:num w:numId="13">
    <w:abstractNumId w:val="28"/>
  </w:num>
  <w:num w:numId="14">
    <w:abstractNumId w:val="36"/>
  </w:num>
  <w:num w:numId="15">
    <w:abstractNumId w:val="29"/>
  </w:num>
  <w:num w:numId="16">
    <w:abstractNumId w:val="35"/>
  </w:num>
  <w:num w:numId="17">
    <w:abstractNumId w:val="6"/>
  </w:num>
  <w:num w:numId="18">
    <w:abstractNumId w:val="0"/>
  </w:num>
  <w:num w:numId="19">
    <w:abstractNumId w:val="31"/>
  </w:num>
  <w:num w:numId="20">
    <w:abstractNumId w:val="15"/>
  </w:num>
  <w:num w:numId="21">
    <w:abstractNumId w:val="22"/>
  </w:num>
  <w:num w:numId="22">
    <w:abstractNumId w:val="27"/>
  </w:num>
  <w:num w:numId="23">
    <w:abstractNumId w:val="39"/>
  </w:num>
  <w:num w:numId="24">
    <w:abstractNumId w:val="11"/>
  </w:num>
  <w:num w:numId="25">
    <w:abstractNumId w:val="19"/>
  </w:num>
  <w:num w:numId="26">
    <w:abstractNumId w:val="16"/>
  </w:num>
  <w:num w:numId="27">
    <w:abstractNumId w:val="17"/>
  </w:num>
  <w:num w:numId="28">
    <w:abstractNumId w:val="41"/>
  </w:num>
  <w:num w:numId="29">
    <w:abstractNumId w:val="7"/>
  </w:num>
  <w:num w:numId="30">
    <w:abstractNumId w:val="34"/>
  </w:num>
  <w:num w:numId="31">
    <w:abstractNumId w:val="30"/>
  </w:num>
  <w:num w:numId="32">
    <w:abstractNumId w:val="37"/>
  </w:num>
  <w:num w:numId="33">
    <w:abstractNumId w:val="40"/>
  </w:num>
  <w:num w:numId="34">
    <w:abstractNumId w:val="32"/>
  </w:num>
  <w:num w:numId="35">
    <w:abstractNumId w:val="12"/>
  </w:num>
  <w:num w:numId="36">
    <w:abstractNumId w:val="5"/>
  </w:num>
  <w:num w:numId="37">
    <w:abstractNumId w:val="38"/>
  </w:num>
  <w:num w:numId="38">
    <w:abstractNumId w:val="4"/>
  </w:num>
  <w:num w:numId="39">
    <w:abstractNumId w:val="24"/>
  </w:num>
  <w:num w:numId="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"/>
    <w:lvlOverride w:ilvl="0">
      <w:startOverride w:val="1"/>
    </w:lvlOverride>
  </w:num>
  <w:num w:numId="43">
    <w:abstractNumId w:val="18"/>
  </w:num>
  <w:num w:numId="44">
    <w:abstractNumId w:val="23"/>
  </w:num>
  <w:num w:numId="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7A6"/>
    <w:rsid w:val="0001385B"/>
    <w:rsid w:val="00062621"/>
    <w:rsid w:val="00082567"/>
    <w:rsid w:val="000872C6"/>
    <w:rsid w:val="000A01C5"/>
    <w:rsid w:val="000A42E2"/>
    <w:rsid w:val="000A70CE"/>
    <w:rsid w:val="00106FA1"/>
    <w:rsid w:val="00140F74"/>
    <w:rsid w:val="00153000"/>
    <w:rsid w:val="00195D24"/>
    <w:rsid w:val="00226290"/>
    <w:rsid w:val="00226C7E"/>
    <w:rsid w:val="002B10C5"/>
    <w:rsid w:val="002B7EF9"/>
    <w:rsid w:val="002E7641"/>
    <w:rsid w:val="0031723C"/>
    <w:rsid w:val="0035006A"/>
    <w:rsid w:val="003502EB"/>
    <w:rsid w:val="003816D4"/>
    <w:rsid w:val="00386BDE"/>
    <w:rsid w:val="00420195"/>
    <w:rsid w:val="00430D65"/>
    <w:rsid w:val="00431206"/>
    <w:rsid w:val="004537A6"/>
    <w:rsid w:val="004A3639"/>
    <w:rsid w:val="004A4815"/>
    <w:rsid w:val="004B5E68"/>
    <w:rsid w:val="00505CFB"/>
    <w:rsid w:val="0055762C"/>
    <w:rsid w:val="00595A76"/>
    <w:rsid w:val="00617EC5"/>
    <w:rsid w:val="006309BF"/>
    <w:rsid w:val="00716F0E"/>
    <w:rsid w:val="007475D7"/>
    <w:rsid w:val="007B4693"/>
    <w:rsid w:val="007D2398"/>
    <w:rsid w:val="008028E8"/>
    <w:rsid w:val="00806F74"/>
    <w:rsid w:val="008146EE"/>
    <w:rsid w:val="00852D15"/>
    <w:rsid w:val="00877102"/>
    <w:rsid w:val="008A4119"/>
    <w:rsid w:val="008A7106"/>
    <w:rsid w:val="008E4B96"/>
    <w:rsid w:val="00912D05"/>
    <w:rsid w:val="009319E1"/>
    <w:rsid w:val="0093379E"/>
    <w:rsid w:val="00984712"/>
    <w:rsid w:val="009B0ED9"/>
    <w:rsid w:val="00A37445"/>
    <w:rsid w:val="00A8133F"/>
    <w:rsid w:val="00AF7709"/>
    <w:rsid w:val="00B009C9"/>
    <w:rsid w:val="00B33D13"/>
    <w:rsid w:val="00B72884"/>
    <w:rsid w:val="00B935A3"/>
    <w:rsid w:val="00B95922"/>
    <w:rsid w:val="00BD6659"/>
    <w:rsid w:val="00BE7B7B"/>
    <w:rsid w:val="00C10E44"/>
    <w:rsid w:val="00C2669F"/>
    <w:rsid w:val="00C62F9D"/>
    <w:rsid w:val="00C64C0B"/>
    <w:rsid w:val="00C75220"/>
    <w:rsid w:val="00D73EB9"/>
    <w:rsid w:val="00D93C7F"/>
    <w:rsid w:val="00DA12A3"/>
    <w:rsid w:val="00DA1FA2"/>
    <w:rsid w:val="00DC7F16"/>
    <w:rsid w:val="00E2786E"/>
    <w:rsid w:val="00E50DAF"/>
    <w:rsid w:val="00E50E99"/>
    <w:rsid w:val="00EA6DEC"/>
    <w:rsid w:val="00EC6DB9"/>
    <w:rsid w:val="00EC7C3F"/>
    <w:rsid w:val="00EF3E66"/>
    <w:rsid w:val="00F34EF1"/>
    <w:rsid w:val="00F65B8E"/>
    <w:rsid w:val="00FA2BC1"/>
    <w:rsid w:val="00FF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D73EB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73EB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D73EB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73EB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73EB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D73EB9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rsid w:val="00D73EB9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D73EB9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character" w:customStyle="1" w:styleId="WW8Num2z0">
    <w:name w:val="WW8Num2z0"/>
    <w:rsid w:val="00D73EB9"/>
    <w:rPr>
      <w:rFonts w:ascii="Wingdings 2" w:hAnsi="Wingdings 2" w:cs="OpenSymbol"/>
    </w:rPr>
  </w:style>
  <w:style w:type="character" w:customStyle="1" w:styleId="WW8Num2z1">
    <w:name w:val="WW8Num2z1"/>
    <w:rsid w:val="00D73EB9"/>
    <w:rPr>
      <w:rFonts w:ascii="OpenSymbol" w:hAnsi="OpenSymbol" w:cs="OpenSymbol"/>
    </w:rPr>
  </w:style>
  <w:style w:type="character" w:customStyle="1" w:styleId="WW8Num3z0">
    <w:name w:val="WW8Num3z0"/>
    <w:rsid w:val="00D73EB9"/>
    <w:rPr>
      <w:rFonts w:ascii="Times New Roman" w:hAnsi="Times New Roman" w:cs="Times New Roman"/>
    </w:rPr>
  </w:style>
  <w:style w:type="character" w:customStyle="1" w:styleId="WW8Num4z0">
    <w:name w:val="WW8Num4z0"/>
    <w:rsid w:val="00D73EB9"/>
    <w:rPr>
      <w:rFonts w:ascii="Tahoma" w:hAnsi="Tahoma" w:cs="Tahoma"/>
    </w:rPr>
  </w:style>
  <w:style w:type="character" w:customStyle="1" w:styleId="Absatz-Standardschriftart">
    <w:name w:val="Absatz-Standardschriftart"/>
    <w:rsid w:val="00D73EB9"/>
  </w:style>
  <w:style w:type="character" w:customStyle="1" w:styleId="WW-Absatz-Standardschriftart">
    <w:name w:val="WW-Absatz-Standardschriftart"/>
    <w:rsid w:val="00D73EB9"/>
  </w:style>
  <w:style w:type="character" w:customStyle="1" w:styleId="WW-Absatz-Standardschriftart1">
    <w:name w:val="WW-Absatz-Standardschriftart1"/>
    <w:rsid w:val="00D73EB9"/>
  </w:style>
  <w:style w:type="character" w:customStyle="1" w:styleId="WW-Absatz-Standardschriftart11">
    <w:name w:val="WW-Absatz-Standardschriftart11"/>
    <w:rsid w:val="00D73EB9"/>
  </w:style>
  <w:style w:type="character" w:customStyle="1" w:styleId="WW-Absatz-Standardschriftart111">
    <w:name w:val="WW-Absatz-Standardschriftart111"/>
    <w:rsid w:val="00D73EB9"/>
  </w:style>
  <w:style w:type="character" w:customStyle="1" w:styleId="Domylnaczcionkaakapitu1">
    <w:name w:val="Domyślna czcionka akapitu1"/>
    <w:rsid w:val="00D73EB9"/>
  </w:style>
  <w:style w:type="character" w:customStyle="1" w:styleId="WW-Absatz-Standardschriftart1111">
    <w:name w:val="WW-Absatz-Standardschriftart1111"/>
    <w:rsid w:val="00D73EB9"/>
  </w:style>
  <w:style w:type="character" w:customStyle="1" w:styleId="WW-Absatz-Standardschriftart11111">
    <w:name w:val="WW-Absatz-Standardschriftart11111"/>
    <w:rsid w:val="00D73EB9"/>
  </w:style>
  <w:style w:type="character" w:customStyle="1" w:styleId="WW-Absatz-Standardschriftart111111">
    <w:name w:val="WW-Absatz-Standardschriftart111111"/>
    <w:rsid w:val="00D73EB9"/>
  </w:style>
  <w:style w:type="character" w:customStyle="1" w:styleId="WW-Absatz-Standardschriftart1111111">
    <w:name w:val="WW-Absatz-Standardschriftart1111111"/>
    <w:rsid w:val="00D73EB9"/>
  </w:style>
  <w:style w:type="character" w:customStyle="1" w:styleId="WW-Absatz-Standardschriftart11111111">
    <w:name w:val="WW-Absatz-Standardschriftart11111111"/>
    <w:rsid w:val="00D73EB9"/>
  </w:style>
  <w:style w:type="character" w:customStyle="1" w:styleId="WW-Absatz-Standardschriftart111111111">
    <w:name w:val="WW-Absatz-Standardschriftart111111111"/>
    <w:rsid w:val="00D73EB9"/>
  </w:style>
  <w:style w:type="character" w:customStyle="1" w:styleId="WW-Absatz-Standardschriftart1111111111">
    <w:name w:val="WW-Absatz-Standardschriftart1111111111"/>
    <w:rsid w:val="00D73EB9"/>
  </w:style>
  <w:style w:type="character" w:customStyle="1" w:styleId="Symbolewypunktowania">
    <w:name w:val="Symbole wypunktowania"/>
    <w:rsid w:val="00D73EB9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D73EB9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73EB9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Lista">
    <w:name w:val="List"/>
    <w:basedOn w:val="Tekstpodstawowy"/>
    <w:rsid w:val="00D73EB9"/>
    <w:rPr>
      <w:rFonts w:cs="Tahoma"/>
    </w:rPr>
  </w:style>
  <w:style w:type="paragraph" w:customStyle="1" w:styleId="Podpis2">
    <w:name w:val="Podpis2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Mangal"/>
      <w:i/>
      <w:iCs/>
      <w:kern w:val="1"/>
      <w:sz w:val="24"/>
      <w:szCs w:val="24"/>
      <w:lang w:eastAsia="pl-PL"/>
    </w:rPr>
  </w:style>
  <w:style w:type="paragraph" w:customStyle="1" w:styleId="Indeks">
    <w:name w:val="Indeks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pl-PL"/>
    </w:rPr>
  </w:style>
  <w:style w:type="paragraph" w:customStyle="1" w:styleId="Nagwek10">
    <w:name w:val="Nagłówek1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customStyle="1" w:styleId="Podpis1">
    <w:name w:val="Podpis1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imes New Roman"/>
      <w:kern w:val="1"/>
      <w:sz w:val="28"/>
      <w:szCs w:val="2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73EB9"/>
    <w:rPr>
      <w:rFonts w:ascii="Arial" w:eastAsia="Andale Sans UI" w:hAnsi="Arial" w:cs="Times New Roman"/>
      <w:kern w:val="1"/>
      <w:sz w:val="28"/>
      <w:szCs w:val="28"/>
      <w:lang w:eastAsia="pl-PL"/>
    </w:rPr>
  </w:style>
  <w:style w:type="paragraph" w:customStyle="1" w:styleId="Zawartotabeli">
    <w:name w:val="Zawartość tabeli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D73EB9"/>
    <w:pPr>
      <w:jc w:val="center"/>
    </w:pPr>
    <w:rPr>
      <w:b/>
      <w:bCs/>
    </w:rPr>
  </w:style>
  <w:style w:type="paragraph" w:customStyle="1" w:styleId="Skrconyadreszwrotny">
    <w:name w:val="Skrócony adres zwrotny"/>
    <w:basedOn w:val="Normalny"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0"/>
      <w:lang w:eastAsia="pl-PL"/>
    </w:rPr>
  </w:style>
  <w:style w:type="paragraph" w:customStyle="1" w:styleId="Lista-kontynuacja21">
    <w:name w:val="Lista - kontynuacja 21"/>
    <w:basedOn w:val="Normalny"/>
    <w:rsid w:val="00D73EB9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73EB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73EB9"/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paragraph" w:customStyle="1" w:styleId="AbsatzTableFormat">
    <w:name w:val="AbsatzTableFormat"/>
    <w:basedOn w:val="Normalny"/>
    <w:rsid w:val="00D73EB9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EB9"/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D73E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3EB9"/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3E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3EB9"/>
    <w:rPr>
      <w:rFonts w:ascii="Times New Roman" w:eastAsia="Andale Sans UI" w:hAnsi="Times New Roman" w:cs="Times New Roman"/>
      <w:b/>
      <w:bCs/>
      <w:kern w:val="1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73EB9"/>
    <w:pPr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ekstwstpniesformatowany">
    <w:name w:val="Tekst wstępnie sformatowany"/>
    <w:basedOn w:val="Normalny"/>
    <w:rsid w:val="00D73EB9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pl-PL"/>
    </w:rPr>
  </w:style>
  <w:style w:type="paragraph" w:customStyle="1" w:styleId="Standard">
    <w:name w:val="Standard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D73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-kontynuacja2">
    <w:name w:val="List Continue 2"/>
    <w:basedOn w:val="Normalny"/>
    <w:uiPriority w:val="99"/>
    <w:semiHidden/>
    <w:unhideWhenUsed/>
    <w:rsid w:val="00D73EB9"/>
    <w:pPr>
      <w:widowControl w:val="0"/>
      <w:suppressAutoHyphens/>
      <w:spacing w:after="120" w:line="240" w:lineRule="auto"/>
      <w:ind w:left="566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Standarduser">
    <w:name w:val="Standard (user)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D73EB9"/>
    <w:pPr>
      <w:widowControl w:val="0"/>
      <w:ind w:left="720"/>
    </w:pPr>
    <w:rPr>
      <w:rFonts w:eastAsia="Andale Sans UI" w:cs="Tahoma"/>
      <w:lang w:val="de-DE" w:eastAsia="ja-JP" w:bidi="fa-IR"/>
    </w:rPr>
  </w:style>
  <w:style w:type="paragraph" w:styleId="Listapunktowana">
    <w:name w:val="List Bullet"/>
    <w:basedOn w:val="Normalny"/>
    <w:uiPriority w:val="99"/>
    <w:unhideWhenUsed/>
    <w:rsid w:val="00D73EB9"/>
    <w:pPr>
      <w:widowControl w:val="0"/>
      <w:numPr>
        <w:numId w:val="18"/>
      </w:numPr>
      <w:suppressAutoHyphens/>
      <w:spacing w:after="0" w:line="240" w:lineRule="auto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ableContents">
    <w:name w:val="Table Contents"/>
    <w:basedOn w:val="Normalny"/>
    <w:uiPriority w:val="99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fa-IR" w:bidi="fa-IR"/>
    </w:rPr>
  </w:style>
  <w:style w:type="character" w:customStyle="1" w:styleId="spelle">
    <w:name w:val="spelle"/>
    <w:rsid w:val="00D73EB9"/>
    <w:rPr>
      <w:rFonts w:cs="Times New Roman"/>
      <w:lang w:eastAsia="hi-IN" w:bidi="hi-IN"/>
    </w:rPr>
  </w:style>
  <w:style w:type="paragraph" w:styleId="NormalnyWeb">
    <w:name w:val="Normal (Web)"/>
    <w:basedOn w:val="Normalny"/>
    <w:rsid w:val="00D73EB9"/>
    <w:pPr>
      <w:widowControl w:val="0"/>
      <w:suppressAutoHyphens/>
      <w:spacing w:before="100" w:after="100" w:line="240" w:lineRule="auto"/>
    </w:pPr>
    <w:rPr>
      <w:rFonts w:ascii="Arial Unicode MS" w:eastAsia="MS Mincho" w:hAnsi="Arial Unicode MS" w:cs="Arial Unicode MS"/>
      <w:color w:val="000000"/>
      <w:sz w:val="24"/>
      <w:szCs w:val="24"/>
      <w:lang w:val="en-US" w:bidi="en-US"/>
    </w:rPr>
  </w:style>
  <w:style w:type="paragraph" w:customStyle="1" w:styleId="TableContentsuser">
    <w:name w:val="Table Contents (user)"/>
    <w:basedOn w:val="Normalny"/>
    <w:uiPriority w:val="99"/>
    <w:rsid w:val="00D73EB9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ja-JP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D73EB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ps">
    <w:name w:val="hps"/>
    <w:rsid w:val="00D73EB9"/>
  </w:style>
  <w:style w:type="paragraph" w:customStyle="1" w:styleId="Akapitzlist1">
    <w:name w:val="Akapit z listą1"/>
    <w:basedOn w:val="Normalny"/>
    <w:rsid w:val="00D73EB9"/>
    <w:pPr>
      <w:ind w:left="720"/>
    </w:pPr>
    <w:rPr>
      <w:rFonts w:ascii="Calibri" w:eastAsia="Times New Roman" w:hAnsi="Calibri" w:cs="Times New Roman"/>
      <w:szCs w:val="20"/>
      <w:lang w:eastAsia="pl-PL"/>
    </w:rPr>
  </w:style>
  <w:style w:type="paragraph" w:customStyle="1" w:styleId="pkt">
    <w:name w:val="pkt"/>
    <w:basedOn w:val="Normalny"/>
    <w:rsid w:val="00420195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028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Lista-kontynuacja24">
    <w:name w:val="Lista - kontynuacja 24"/>
    <w:basedOn w:val="Normalny"/>
    <w:rsid w:val="008028E8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31206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431206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31206"/>
    <w:pPr>
      <w:numPr>
        <w:numId w:val="44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312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312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B5E6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D73EB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73EB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D73EB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73EB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73EB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D73EB9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rsid w:val="00D73EB9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D73EB9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character" w:customStyle="1" w:styleId="WW8Num2z0">
    <w:name w:val="WW8Num2z0"/>
    <w:rsid w:val="00D73EB9"/>
    <w:rPr>
      <w:rFonts w:ascii="Wingdings 2" w:hAnsi="Wingdings 2" w:cs="OpenSymbol"/>
    </w:rPr>
  </w:style>
  <w:style w:type="character" w:customStyle="1" w:styleId="WW8Num2z1">
    <w:name w:val="WW8Num2z1"/>
    <w:rsid w:val="00D73EB9"/>
    <w:rPr>
      <w:rFonts w:ascii="OpenSymbol" w:hAnsi="OpenSymbol" w:cs="OpenSymbol"/>
    </w:rPr>
  </w:style>
  <w:style w:type="character" w:customStyle="1" w:styleId="WW8Num3z0">
    <w:name w:val="WW8Num3z0"/>
    <w:rsid w:val="00D73EB9"/>
    <w:rPr>
      <w:rFonts w:ascii="Times New Roman" w:hAnsi="Times New Roman" w:cs="Times New Roman"/>
    </w:rPr>
  </w:style>
  <w:style w:type="character" w:customStyle="1" w:styleId="WW8Num4z0">
    <w:name w:val="WW8Num4z0"/>
    <w:rsid w:val="00D73EB9"/>
    <w:rPr>
      <w:rFonts w:ascii="Tahoma" w:hAnsi="Tahoma" w:cs="Tahoma"/>
    </w:rPr>
  </w:style>
  <w:style w:type="character" w:customStyle="1" w:styleId="Absatz-Standardschriftart">
    <w:name w:val="Absatz-Standardschriftart"/>
    <w:rsid w:val="00D73EB9"/>
  </w:style>
  <w:style w:type="character" w:customStyle="1" w:styleId="WW-Absatz-Standardschriftart">
    <w:name w:val="WW-Absatz-Standardschriftart"/>
    <w:rsid w:val="00D73EB9"/>
  </w:style>
  <w:style w:type="character" w:customStyle="1" w:styleId="WW-Absatz-Standardschriftart1">
    <w:name w:val="WW-Absatz-Standardschriftart1"/>
    <w:rsid w:val="00D73EB9"/>
  </w:style>
  <w:style w:type="character" w:customStyle="1" w:styleId="WW-Absatz-Standardschriftart11">
    <w:name w:val="WW-Absatz-Standardschriftart11"/>
    <w:rsid w:val="00D73EB9"/>
  </w:style>
  <w:style w:type="character" w:customStyle="1" w:styleId="WW-Absatz-Standardschriftart111">
    <w:name w:val="WW-Absatz-Standardschriftart111"/>
    <w:rsid w:val="00D73EB9"/>
  </w:style>
  <w:style w:type="character" w:customStyle="1" w:styleId="Domylnaczcionkaakapitu1">
    <w:name w:val="Domyślna czcionka akapitu1"/>
    <w:rsid w:val="00D73EB9"/>
  </w:style>
  <w:style w:type="character" w:customStyle="1" w:styleId="WW-Absatz-Standardschriftart1111">
    <w:name w:val="WW-Absatz-Standardschriftart1111"/>
    <w:rsid w:val="00D73EB9"/>
  </w:style>
  <w:style w:type="character" w:customStyle="1" w:styleId="WW-Absatz-Standardschriftart11111">
    <w:name w:val="WW-Absatz-Standardschriftart11111"/>
    <w:rsid w:val="00D73EB9"/>
  </w:style>
  <w:style w:type="character" w:customStyle="1" w:styleId="WW-Absatz-Standardschriftart111111">
    <w:name w:val="WW-Absatz-Standardschriftart111111"/>
    <w:rsid w:val="00D73EB9"/>
  </w:style>
  <w:style w:type="character" w:customStyle="1" w:styleId="WW-Absatz-Standardschriftart1111111">
    <w:name w:val="WW-Absatz-Standardschriftart1111111"/>
    <w:rsid w:val="00D73EB9"/>
  </w:style>
  <w:style w:type="character" w:customStyle="1" w:styleId="WW-Absatz-Standardschriftart11111111">
    <w:name w:val="WW-Absatz-Standardschriftart11111111"/>
    <w:rsid w:val="00D73EB9"/>
  </w:style>
  <w:style w:type="character" w:customStyle="1" w:styleId="WW-Absatz-Standardschriftart111111111">
    <w:name w:val="WW-Absatz-Standardschriftart111111111"/>
    <w:rsid w:val="00D73EB9"/>
  </w:style>
  <w:style w:type="character" w:customStyle="1" w:styleId="WW-Absatz-Standardschriftart1111111111">
    <w:name w:val="WW-Absatz-Standardschriftart1111111111"/>
    <w:rsid w:val="00D73EB9"/>
  </w:style>
  <w:style w:type="character" w:customStyle="1" w:styleId="Symbolewypunktowania">
    <w:name w:val="Symbole wypunktowania"/>
    <w:rsid w:val="00D73EB9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D73EB9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73EB9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Lista">
    <w:name w:val="List"/>
    <w:basedOn w:val="Tekstpodstawowy"/>
    <w:rsid w:val="00D73EB9"/>
    <w:rPr>
      <w:rFonts w:cs="Tahoma"/>
    </w:rPr>
  </w:style>
  <w:style w:type="paragraph" w:customStyle="1" w:styleId="Podpis2">
    <w:name w:val="Podpis2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Mangal"/>
      <w:i/>
      <w:iCs/>
      <w:kern w:val="1"/>
      <w:sz w:val="24"/>
      <w:szCs w:val="24"/>
      <w:lang w:eastAsia="pl-PL"/>
    </w:rPr>
  </w:style>
  <w:style w:type="paragraph" w:customStyle="1" w:styleId="Indeks">
    <w:name w:val="Indeks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pl-PL"/>
    </w:rPr>
  </w:style>
  <w:style w:type="paragraph" w:customStyle="1" w:styleId="Nagwek10">
    <w:name w:val="Nagłówek1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customStyle="1" w:styleId="Podpis1">
    <w:name w:val="Podpis1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imes New Roman"/>
      <w:kern w:val="1"/>
      <w:sz w:val="28"/>
      <w:szCs w:val="2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73EB9"/>
    <w:rPr>
      <w:rFonts w:ascii="Arial" w:eastAsia="Andale Sans UI" w:hAnsi="Arial" w:cs="Times New Roman"/>
      <w:kern w:val="1"/>
      <w:sz w:val="28"/>
      <w:szCs w:val="28"/>
      <w:lang w:eastAsia="pl-PL"/>
    </w:rPr>
  </w:style>
  <w:style w:type="paragraph" w:customStyle="1" w:styleId="Zawartotabeli">
    <w:name w:val="Zawartość tabeli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D73EB9"/>
    <w:pPr>
      <w:jc w:val="center"/>
    </w:pPr>
    <w:rPr>
      <w:b/>
      <w:bCs/>
    </w:rPr>
  </w:style>
  <w:style w:type="paragraph" w:customStyle="1" w:styleId="Skrconyadreszwrotny">
    <w:name w:val="Skrócony adres zwrotny"/>
    <w:basedOn w:val="Normalny"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0"/>
      <w:lang w:eastAsia="pl-PL"/>
    </w:rPr>
  </w:style>
  <w:style w:type="paragraph" w:customStyle="1" w:styleId="Lista-kontynuacja21">
    <w:name w:val="Lista - kontynuacja 21"/>
    <w:basedOn w:val="Normalny"/>
    <w:rsid w:val="00D73EB9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73EB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73EB9"/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paragraph" w:customStyle="1" w:styleId="AbsatzTableFormat">
    <w:name w:val="AbsatzTableFormat"/>
    <w:basedOn w:val="Normalny"/>
    <w:rsid w:val="00D73EB9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EB9"/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D73E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3EB9"/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3E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3EB9"/>
    <w:rPr>
      <w:rFonts w:ascii="Times New Roman" w:eastAsia="Andale Sans UI" w:hAnsi="Times New Roman" w:cs="Times New Roman"/>
      <w:b/>
      <w:bCs/>
      <w:kern w:val="1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73EB9"/>
    <w:pPr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ekstwstpniesformatowany">
    <w:name w:val="Tekst wstępnie sformatowany"/>
    <w:basedOn w:val="Normalny"/>
    <w:rsid w:val="00D73EB9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pl-PL"/>
    </w:rPr>
  </w:style>
  <w:style w:type="paragraph" w:customStyle="1" w:styleId="Standard">
    <w:name w:val="Standard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D73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-kontynuacja2">
    <w:name w:val="List Continue 2"/>
    <w:basedOn w:val="Normalny"/>
    <w:uiPriority w:val="99"/>
    <w:semiHidden/>
    <w:unhideWhenUsed/>
    <w:rsid w:val="00D73EB9"/>
    <w:pPr>
      <w:widowControl w:val="0"/>
      <w:suppressAutoHyphens/>
      <w:spacing w:after="120" w:line="240" w:lineRule="auto"/>
      <w:ind w:left="566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Standarduser">
    <w:name w:val="Standard (user)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D73EB9"/>
    <w:pPr>
      <w:widowControl w:val="0"/>
      <w:ind w:left="720"/>
    </w:pPr>
    <w:rPr>
      <w:rFonts w:eastAsia="Andale Sans UI" w:cs="Tahoma"/>
      <w:lang w:val="de-DE" w:eastAsia="ja-JP" w:bidi="fa-IR"/>
    </w:rPr>
  </w:style>
  <w:style w:type="paragraph" w:styleId="Listapunktowana">
    <w:name w:val="List Bullet"/>
    <w:basedOn w:val="Normalny"/>
    <w:uiPriority w:val="99"/>
    <w:unhideWhenUsed/>
    <w:rsid w:val="00D73EB9"/>
    <w:pPr>
      <w:widowControl w:val="0"/>
      <w:numPr>
        <w:numId w:val="18"/>
      </w:numPr>
      <w:suppressAutoHyphens/>
      <w:spacing w:after="0" w:line="240" w:lineRule="auto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ableContents">
    <w:name w:val="Table Contents"/>
    <w:basedOn w:val="Normalny"/>
    <w:uiPriority w:val="99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fa-IR" w:bidi="fa-IR"/>
    </w:rPr>
  </w:style>
  <w:style w:type="character" w:customStyle="1" w:styleId="spelle">
    <w:name w:val="spelle"/>
    <w:rsid w:val="00D73EB9"/>
    <w:rPr>
      <w:rFonts w:cs="Times New Roman"/>
      <w:lang w:eastAsia="hi-IN" w:bidi="hi-IN"/>
    </w:rPr>
  </w:style>
  <w:style w:type="paragraph" w:styleId="NormalnyWeb">
    <w:name w:val="Normal (Web)"/>
    <w:basedOn w:val="Normalny"/>
    <w:rsid w:val="00D73EB9"/>
    <w:pPr>
      <w:widowControl w:val="0"/>
      <w:suppressAutoHyphens/>
      <w:spacing w:before="100" w:after="100" w:line="240" w:lineRule="auto"/>
    </w:pPr>
    <w:rPr>
      <w:rFonts w:ascii="Arial Unicode MS" w:eastAsia="MS Mincho" w:hAnsi="Arial Unicode MS" w:cs="Arial Unicode MS"/>
      <w:color w:val="000000"/>
      <w:sz w:val="24"/>
      <w:szCs w:val="24"/>
      <w:lang w:val="en-US" w:bidi="en-US"/>
    </w:rPr>
  </w:style>
  <w:style w:type="paragraph" w:customStyle="1" w:styleId="TableContentsuser">
    <w:name w:val="Table Contents (user)"/>
    <w:basedOn w:val="Normalny"/>
    <w:uiPriority w:val="99"/>
    <w:rsid w:val="00D73EB9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ja-JP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D73EB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ps">
    <w:name w:val="hps"/>
    <w:rsid w:val="00D73EB9"/>
  </w:style>
  <w:style w:type="paragraph" w:customStyle="1" w:styleId="Akapitzlist1">
    <w:name w:val="Akapit z listą1"/>
    <w:basedOn w:val="Normalny"/>
    <w:rsid w:val="00D73EB9"/>
    <w:pPr>
      <w:ind w:left="720"/>
    </w:pPr>
    <w:rPr>
      <w:rFonts w:ascii="Calibri" w:eastAsia="Times New Roman" w:hAnsi="Calibri" w:cs="Times New Roman"/>
      <w:szCs w:val="20"/>
      <w:lang w:eastAsia="pl-PL"/>
    </w:rPr>
  </w:style>
  <w:style w:type="paragraph" w:customStyle="1" w:styleId="pkt">
    <w:name w:val="pkt"/>
    <w:basedOn w:val="Normalny"/>
    <w:rsid w:val="00420195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028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Lista-kontynuacja24">
    <w:name w:val="Lista - kontynuacja 24"/>
    <w:basedOn w:val="Normalny"/>
    <w:rsid w:val="008028E8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31206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431206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31206"/>
    <w:pPr>
      <w:numPr>
        <w:numId w:val="44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312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312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B5E6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088A86-C87D-43B3-969E-0B9E9064E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14</Pages>
  <Words>1949</Words>
  <Characters>11697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Beata Ziajka</cp:lastModifiedBy>
  <cp:revision>7</cp:revision>
  <cp:lastPrinted>2018-01-24T09:28:00Z</cp:lastPrinted>
  <dcterms:created xsi:type="dcterms:W3CDTF">2018-01-25T12:19:00Z</dcterms:created>
  <dcterms:modified xsi:type="dcterms:W3CDTF">2018-01-30T09:24:00Z</dcterms:modified>
</cp:coreProperties>
</file>