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3C" w:rsidRDefault="003C5B3C" w:rsidP="003C5B3C">
      <w:pPr>
        <w:pStyle w:val="Tytu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3C5B3C" w:rsidRDefault="003C5B3C" w:rsidP="003C5B3C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3C5B3C" w:rsidRPr="006F067E" w:rsidRDefault="00410525" w:rsidP="003C5B3C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 w:rsidRPr="006F067E">
        <w:rPr>
          <w:rFonts w:ascii="Century Gothic" w:hAnsi="Century Gothic"/>
          <w:b/>
          <w:u w:val="single"/>
        </w:rPr>
        <w:t>Aparat do radioterapii śródoperacyjnej</w:t>
      </w:r>
    </w:p>
    <w:p w:rsidR="003C5B3C" w:rsidRDefault="003C5B3C" w:rsidP="003C5B3C">
      <w:pPr>
        <w:pStyle w:val="Standard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</w:p>
    <w:p w:rsidR="003C5B3C" w:rsidRDefault="003C5B3C" w:rsidP="003C5B3C">
      <w:pPr>
        <w:pStyle w:val="Standard"/>
        <w:rPr>
          <w:rFonts w:ascii="Century Gothic" w:hAnsi="Century Gothic"/>
          <w:sz w:val="18"/>
          <w:szCs w:val="18"/>
        </w:rPr>
      </w:pP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3C5B3C" w:rsidRDefault="003C5B3C" w:rsidP="003C5B3C">
      <w:pPr>
        <w:pStyle w:val="Standard"/>
        <w:widowControl/>
        <w:numPr>
          <w:ilvl w:val="0"/>
          <w:numId w:val="11"/>
        </w:num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</w:t>
      </w:r>
      <w:r w:rsidRPr="006F067E">
        <w:rPr>
          <w:rFonts w:ascii="Century Gothic" w:hAnsi="Century Gothic"/>
          <w:sz w:val="18"/>
          <w:szCs w:val="18"/>
        </w:rPr>
        <w:t>wcześniej niż 2018), nieużywany</w:t>
      </w:r>
      <w:r>
        <w:rPr>
          <w:rFonts w:ascii="Century Gothic" w:hAnsi="Century Gothic"/>
          <w:sz w:val="18"/>
          <w:szCs w:val="18"/>
        </w:rPr>
        <w:t xml:space="preserve">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>
        <w:rPr>
          <w:rFonts w:ascii="Century Gothic" w:hAnsi="Century Gothic"/>
          <w:sz w:val="18"/>
          <w:szCs w:val="18"/>
        </w:rPr>
        <w:t>rekondycjonowanym</w:t>
      </w:r>
      <w:proofErr w:type="spellEnd"/>
      <w:r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3C5B3C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Pr="006F067E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Rok produkcji (min</w:t>
      </w:r>
      <w:r w:rsidRPr="006F067E">
        <w:rPr>
          <w:rFonts w:ascii="Century Gothic" w:hAnsi="Century Gothic"/>
          <w:sz w:val="20"/>
          <w:szCs w:val="20"/>
        </w:rPr>
        <w:t>. 201</w:t>
      </w:r>
      <w:r w:rsidR="0057493A" w:rsidRPr="006F067E">
        <w:rPr>
          <w:rFonts w:ascii="Century Gothic" w:hAnsi="Century Gothic"/>
          <w:sz w:val="20"/>
          <w:szCs w:val="20"/>
        </w:rPr>
        <w:t>8</w:t>
      </w:r>
      <w:r w:rsidRPr="006F067E">
        <w:rPr>
          <w:rFonts w:ascii="Century Gothic" w:hAnsi="Century Gothic"/>
          <w:sz w:val="20"/>
          <w:szCs w:val="20"/>
        </w:rPr>
        <w:t>): …..............</w:t>
      </w:r>
    </w:p>
    <w:p w:rsidR="003C5B3C" w:rsidRPr="006F067E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</w:p>
    <w:p w:rsidR="003C5B3C" w:rsidRPr="006F067E" w:rsidRDefault="003C5B3C" w:rsidP="003C5B3C">
      <w:pPr>
        <w:pStyle w:val="Standard"/>
        <w:rPr>
          <w:rFonts w:ascii="Century Gothic" w:hAnsi="Century Gothic"/>
          <w:sz w:val="20"/>
          <w:szCs w:val="20"/>
        </w:rPr>
      </w:pPr>
      <w:r w:rsidRPr="006F067E">
        <w:rPr>
          <w:rFonts w:ascii="Century Gothic" w:hAnsi="Century Gothic"/>
          <w:sz w:val="20"/>
          <w:szCs w:val="20"/>
        </w:rPr>
        <w:t>Klasa wyrobu medycznego: ..................</w:t>
      </w:r>
    </w:p>
    <w:p w:rsidR="003C5B3C" w:rsidRDefault="003C5B3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21376C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21376C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0B65AD" w:rsidRDefault="000B65AD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21376C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21376C" w:rsidRDefault="0021376C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EE6402" w:rsidRPr="006F067E" w:rsidRDefault="00EE6402" w:rsidP="003C5B3C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  <w:bookmarkStart w:id="0" w:name="_GoBack"/>
      <w:bookmarkEnd w:id="0"/>
    </w:p>
    <w:p w:rsidR="00491879" w:rsidRPr="006F067E" w:rsidRDefault="00491879" w:rsidP="00491879">
      <w:pPr>
        <w:rPr>
          <w:rFonts w:ascii="Century Gothic" w:hAnsi="Century Gothic"/>
          <w:b/>
          <w:sz w:val="20"/>
          <w:szCs w:val="20"/>
        </w:rPr>
      </w:pPr>
      <w:r w:rsidRPr="006F067E">
        <w:rPr>
          <w:rFonts w:ascii="Century Gothic" w:hAnsi="Century Gothic"/>
          <w:b/>
          <w:sz w:val="20"/>
          <w:szCs w:val="20"/>
        </w:rPr>
        <w:lastRenderedPageBreak/>
        <w:t>Parametry techniczne i eksploatacyjne</w:t>
      </w:r>
    </w:p>
    <w:tbl>
      <w:tblPr>
        <w:tblStyle w:val="Tabela-Siatka"/>
        <w:tblW w:w="14024" w:type="dxa"/>
        <w:tblInd w:w="0" w:type="dxa"/>
        <w:tblLook w:val="04A0" w:firstRow="1" w:lastRow="0" w:firstColumn="1" w:lastColumn="0" w:noHBand="0" w:noVBand="1"/>
      </w:tblPr>
      <w:tblGrid>
        <w:gridCol w:w="567"/>
        <w:gridCol w:w="5152"/>
        <w:gridCol w:w="2311"/>
        <w:gridCol w:w="3853"/>
        <w:gridCol w:w="2141"/>
      </w:tblGrid>
      <w:tr w:rsidR="006F067E" w:rsidRPr="006F067E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6F067E" w:rsidRDefault="00D45774" w:rsidP="008D6FB9">
            <w:pPr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l.p.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6E74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parametr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parametr wymagany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parametr oferowany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6F067E">
              <w:rPr>
                <w:rFonts w:ascii="Century Gothic" w:hAnsi="Century Gothic"/>
                <w:sz w:val="20"/>
                <w:szCs w:val="20"/>
              </w:rPr>
              <w:t>ocena pkt.</w:t>
            </w:r>
          </w:p>
        </w:tc>
      </w:tr>
      <w:tr w:rsidR="006F067E" w:rsidRPr="006F067E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774" w:rsidRPr="006F067E" w:rsidRDefault="00D45774" w:rsidP="006E745E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F067E">
              <w:rPr>
                <w:rFonts w:ascii="Century Gothic" w:hAnsi="Century Gothic"/>
                <w:b/>
                <w:sz w:val="20"/>
                <w:szCs w:val="20"/>
              </w:rPr>
              <w:t>Wymagania ogólne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F067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6F067E" w:rsidRPr="006F067E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1B6354">
            <w:pPr>
              <w:pStyle w:val="Tekstpodstawowy2"/>
              <w:rPr>
                <w:rFonts w:ascii="Century Gothic" w:hAnsi="Century Gothic" w:cs="Arial"/>
                <w:sz w:val="20"/>
              </w:rPr>
            </w:pPr>
            <w:r w:rsidRPr="006F067E">
              <w:rPr>
                <w:rFonts w:ascii="Century Gothic" w:hAnsi="Century Gothic" w:cs="Arial"/>
                <w:sz w:val="20"/>
              </w:rPr>
              <w:t>Urządzenie fab</w:t>
            </w:r>
            <w:r w:rsidR="001B6354">
              <w:rPr>
                <w:rFonts w:ascii="Century Gothic" w:hAnsi="Century Gothic" w:cs="Arial"/>
                <w:sz w:val="20"/>
              </w:rPr>
              <w:t>rycznie nowe, rok produkcji 2018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F067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6F067E" w:rsidRDefault="00D45774" w:rsidP="00D45774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6F067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Rodzaj promieniowania terapeutycznego: elektrony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Liczba elektronowych wiązek terapeutycznych min. 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Najniższa energia wiązki terapeutycznej max. 6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MeV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Najwyższa energia wiązki terapeutycznej min. 12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MeV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Minimalna moc dawki każdej z wiązek, w trybie terapeutycznym (określona na głębokości maksimum, przy SSD=50cm, dla aplikatora o średnicy 10cm) min. 1000cGy/min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Symetria pola promieniowania (w obrębie 1cm wewnątrz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izodozy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90%, na głębokości maksimum, przy SSD=50cm) max. 3%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Jednorodność pola promieniowania (w obrębie 1cm wewnątrz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izodozy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90%, na głębokości maksimum, przy SSD=50cm) max. ±7% lub dla pola o średnicy 10 cm max. 7%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6 - 7% - 0 pkt.;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&lt;6 % - 2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Kontaminacja fotonowa w wiązkach elektronowych (na głębokości 10 cm poniżej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izodozy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10% w wodzie) max. 1%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Konstrukcja przyspieszacza liniowego elektronów bez magnesów zakrzywiających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Podwójny (podstawowy i zapasowy) system kontroli mocy dawki, oparty o komory jonizacyjne z automatyczną korekcją temperatury i ciśnienia atmosferycznego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Wbudowany zmotoryzowany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beamstopper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B12F70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Zintegrowany pochłaniacz wiązki redukuje rozproszone promieniowanie X (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bremsstrahlung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) do wartości poniżej 200 µ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Gy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przy dawce terapeutycznej 20Gy określonej w odległości SSD=50cm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Wbudowane osłony wewnętrzne redukujące uboczne promieniowanie X  w odległości 3m od pacjenta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Głowica terapeutyczna o trzech stopniach swobody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Ruchy głowicy sterowane silnikami elektrycznymi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Dokładność odczytów mechanicznych położenia głowicy max. 2%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Mobilność urządzenia - możliwość przemieszczania kompletnego urządzenia pomiędzy salami operacyjnymi bez instalacji dodatkowego osprzętu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- 2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Możliwość stosowania urządzenia w salach operacyjnych z ewentualną adaptacją radiologiczną Sali operacyjnej w zależności od ilości przeprowadzanych zabiegów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Wbudowany, autonomiczny system chłodzenia wodnego systemu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Maksymalna waga części jezdnej systemu max. 1 500 kg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Aplikatory terapeutyczne montowane do stołu operacyjnego za pomocą dedykowanego uchwytu pneumatycznego lub uchwytu - inne rozwiązanie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pneumatyczny - 1 pkt.,;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inne rozwiązanie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Zestaw akcesoriów do precyzyjnego mocowania i ustawiania kolimatorów w polu operacyjnym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9A633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Układ miękkiego, bezstykowego dokowania aplikatorów terapeutycznych, kontrolowany laserowo - automatyczne ustawianie głowicy </w:t>
            </w:r>
            <w:r w:rsidR="009A633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aparatu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w odległości kilku milimetrów od aplikatora umieszczonego w polu operacyjnym w pozycji terapeutycznej (głowica </w:t>
            </w:r>
            <w:r w:rsidR="009A633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aparatu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nie dotyka do aplikatora)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System planowania leczenia do planowania zabiegów radioterapii śródoperacyjnej wiązkami elektronów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Oprogramowanie systemu do planowania leczenia 3D do planowania zabiegów radioterapii śródoperacyjnej wiązkami elektronów dla jednej stacji roboczej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B12F70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Symulacja zabiegu radioterapii śródoperacyjnej na bazie obrazów CT, uzyskanych przed wykonaniem zabiegu chirurgicznego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B12F70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Wybór aplikatora z listy dostępnych aplikatorów, o określonej średnicy i kącie ścięcia końcówki pozycjonowanie aplikatora w przestrzeni oraz w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ciele pacjenta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B12F70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- 1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9A633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Obliczanie rozkładu dawki pochłoniętej od wiązek elektronowych z </w:t>
            </w:r>
            <w:r w:rsidR="009A633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aparatów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elektronów do radioterapii śródoperacyjnej z wykorzystaniem algorytmu typu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Pencil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Beam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lub </w:t>
            </w:r>
            <w:r w:rsidR="0061305A"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równoważny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, z uwzględnieniem gęstości elektronowej tkanek pacjenta, geometrii wybranego aplikatora, zastosowanego bolusa oraz płytki osłonnej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B12F70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- 2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9A633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Generowanie raportów, zawierających komplet informacji o utworzonym planie leczenia IORT min.: pozycja i orientacja przestrzenna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aplikatora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śrewdnica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aplikatora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, kąt ścięcia końcówki aplikatora, kąt ramienia </w:t>
            </w:r>
            <w:r w:rsidR="009A633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aparatu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, histogram DVH, przepisana dawka terapeutyczna, sposób normalizacji, liczba jednostek monitorowych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B12F70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TAK - 2 pkt.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Stacja robocza dla oferowanego systemu planowania leczenia 3D do radioterapii śródoperacyjnej, w konfiguracji co najmniej: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    1 procesor min. 4-rdzeniowy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    min. 4 GB RAM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     2 twarde dyski min. 500GB każdy,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     karta graficzna min. 1GB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     karta sieciowa min. 10/100/1000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Mbps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    mysz i klawiatura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    monitor LCD min. 23” o rozdzielczości Full HD - min. 2 szt.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     system operacyjny </w:t>
            </w:r>
            <w:r w:rsidR="0026230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umożliwiający obsługę wszystkich w/w aplikacji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, min. 64 bit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opisać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Aplikatory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Zestaw aplikatorów cylindrycznych o średnicach w zakresie co najmniej od 3 cm do 10 cm, co max. 1 cm, o kącie końcówki 0° (min. 8 aplikatorów). W przypadku, gdy niezbędnym do prawidłowej pracy urządzenia, jest użycie bolusów, Wykonawca dostarczy zestaw aplikatorów wraz z bolusami o grubości 5mm i 10mm dla każdego z aplikatorów (min. 16 bolusów)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opisać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Zestaw aplikatorów cylindrycznych o średnicach w zakresie co najmniej od 3 cm do 10 cm, co max. 1 cm, o kącie końcówki 15° (min. 8 aplikatorów). W przypadku, gdy niezbędnym do prawidłowej pracy urządzenia, jest użycie bolusów, Wykonawca dostarczy zestaw aplikatorów wraz z bolusami o grubości 5mm i 10mm dla każdego z aplikatorów (min. 16 bolusów)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Zestaw aplikatorów cylindrycznych o średnicach w zakresie co najmniej od 3 cm do 10 cm, co max. 1 cm, o kącie końcówki 30° (min. 8 aplikatorów). W przypadku, gdy niezbędnym do prawidłowej pracy urządzenia, jest użycie bolusów, Wykonawca dostarczy zestaw aplikatorów wraz z bolusami o grubości 5mm i 10mm dla każdego z aplikatorów (min. 16 bolusów)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Zestaw płytek osłonnych do ochrony narządów krytycznych, o grubości ok. 10mm i średnicach w zakresie min. 5 - 10 cm (min. 8 szt.)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9A633E" w:rsidP="006E745E">
            <w:pP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Pozostał</w:t>
            </w:r>
            <w:r w:rsidR="00D45774" w:rsidRPr="00D4577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Źródło kontrolne Sr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vertAlign w:val="superscript"/>
                <w:lang w:eastAsia="pl-PL"/>
              </w:rPr>
              <w:t>90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 do komory płasko równoległej typu </w:t>
            </w:r>
            <w:proofErr w:type="spellStart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Roos</w:t>
            </w:r>
            <w:proofErr w:type="spellEnd"/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, z pojemnikiem ochronnym i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uchwytem mocującym komorę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lastRenderedPageBreak/>
              <w:t>TAK, 1 sztuka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9A633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System okablowania  dozymetrycznego typu C-Box na sali operacyjnej,  w której wykorzystywany będzie zamawiany </w:t>
            </w:r>
            <w:r w:rsidR="009A633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aparat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do radioterapii śródoperacyjnej umożliwiający podłączenie: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 xml:space="preserve">- dawkomierza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komór jonizacyjnych ze złączem podanym przez Zamawiającego w dniu podpisania umowy,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br/>
              <w:t>- okablowania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TAK, 1 komplet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Zamawiający wymaga, aby Wykonawca dostarczył niezbędną dokumentację w dniu </w:t>
            </w:r>
            <w:r w:rsidR="0026230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dostawy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, która umożliwi Generalnemu Wykonawcy wykonanie projektu osłon radiologicznych, należy również zabezpieczyć prawidłowe wykonanie testów specjalistycznych oraz dopasowania pracowni do wymogów oferowanego urządzenia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E745E">
            <w:pP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pl-PL"/>
              </w:rPr>
              <w:t>R</w:t>
            </w:r>
            <w:r w:rsidRPr="00D45774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pl-PL"/>
              </w:rPr>
              <w:t>adionawigacja śródoperacyjna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Zasilanie elektryczne 230 VAC. Standardowe podłączenie za pomocą wtyczki prądu jednofazowego, wyposażony w UPS.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Detektor promieniowania gamma na elektromagnetycznym wysięgniku o długości min. 140 cm. Ramię sterowane przyciskiem, który zwalnia hamulce elektromagnetyczne i pozwala na korzystanie z detektora.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autoSpaceDE w:val="0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Działanie oparte o soczewkę scyntylacyjną wykonaną z </w:t>
            </w:r>
            <w:proofErr w:type="spellStart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CsI</w:t>
            </w:r>
            <w:proofErr w:type="spellEnd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(Na) i z fotopowielacza wrażliwego na zmiany położenia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Default"/>
              <w:rPr>
                <w:rFonts w:ascii="Century Gothic" w:eastAsia="F" w:hAnsi="Century Gothic" w:cs="F"/>
                <w:sz w:val="20"/>
                <w:szCs w:val="20"/>
              </w:rPr>
            </w:pPr>
            <w:r w:rsidRPr="00D45774">
              <w:rPr>
                <w:rFonts w:ascii="Century Gothic" w:eastAsia="F" w:hAnsi="Century Gothic" w:cs="F"/>
                <w:sz w:val="20"/>
                <w:szCs w:val="20"/>
              </w:rPr>
              <w:t>Użyteczne pole widzenia: 40 × 40 mm</w:t>
            </w:r>
          </w:p>
          <w:p w:rsidR="00D45774" w:rsidRPr="00D45774" w:rsidRDefault="00D45774" w:rsidP="006E745E">
            <w:pPr>
              <w:pStyle w:val="Standard"/>
              <w:autoSpaceDE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Rozdzielczość przestrzenna kolimatora: 1.8 mm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F" w:hAnsi="Century Gothic" w:cs="F"/>
                <w:sz w:val="20"/>
                <w:szCs w:val="20"/>
              </w:rPr>
              <w:t>O</w:t>
            </w:r>
            <w:r w:rsidRPr="00D45774">
              <w:rPr>
                <w:rFonts w:ascii="Century Gothic" w:eastAsia="F" w:hAnsi="Century Gothic" w:cs="F"/>
                <w:sz w:val="20"/>
                <w:szCs w:val="20"/>
              </w:rPr>
              <w:t>gniskowa kolimatora: 31 mm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Ś</w:t>
            </w:r>
            <w:r w:rsidRPr="00D45774">
              <w:rPr>
                <w:rFonts w:ascii="Century Gothic" w:hAnsi="Century Gothic"/>
                <w:sz w:val="20"/>
                <w:szCs w:val="20"/>
              </w:rPr>
              <w:t>rednica: 4 mm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 xml:space="preserve">Czułość: 233 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cpm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μCi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 xml:space="preserve"> w odległości 5 cm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 xml:space="preserve">Rozdzielczość dla 140 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keV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: 17 %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Obszar detekcji min. 1500mm2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detekcji zarówno w zakresie przedoperacyjnym, śródoperacyjnym jak i pooperacyjnym.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autoSpaceDE w:val="0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System pozycjonowania lasera (LPS)  w podstawie gamma kamery składający się z dwóch laserów o mocy:</w:t>
            </w:r>
            <w:r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 </w:t>
            </w:r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mW</w:t>
            </w:r>
            <w:proofErr w:type="spellEnd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 xml:space="preserve"> i długości fali 635 </w:t>
            </w:r>
            <w:proofErr w:type="spellStart"/>
            <w:r w:rsidRPr="00D45774">
              <w:rPr>
                <w:rFonts w:ascii="Century Gothic" w:eastAsia="Calibri, Calibri" w:hAnsi="Century Gothic" w:cs="Calibri, Calibri"/>
                <w:color w:val="000000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Detekcja: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węzła wartowniczego,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głowy i szyi,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tarczycy i przytarczyc,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piersi,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stercza,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w zakresie ginekologii,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w zakresie endokrynologii,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guzów głębiej niż 3 cm,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  <w:lang w:val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Znaczniki promieniotwórcze współpracujące z urządzeniem min:</w:t>
            </w:r>
          </w:p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Technet-99m</w:t>
            </w:r>
          </w:p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Ameryk-241</w:t>
            </w:r>
          </w:p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Bar-133</w:t>
            </w:r>
          </w:p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Kobalt-157</w:t>
            </w:r>
          </w:p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Gadolin-153</w:t>
            </w:r>
          </w:p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Gallium- 67</w:t>
            </w:r>
          </w:p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Ind-111</w:t>
            </w:r>
          </w:p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Jod-123</w:t>
            </w:r>
          </w:p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val="en-US"/>
              </w:rPr>
              <w:t>Jod-131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Kompatybilne zewnętrzne sondy promieniowania gamma dla chirurgii otwartej (1 szt.) i laparoskopowej (1 szt.) Obie sondy wyświetlające wyniki pomiarów bezpośrednio na ekranie radionawigacji operacyjnej: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średnica sond max. 12 mm,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długość końcówki laparoskopowej min. 30 cm,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czułość sond w odległości 1 cm od źródła &gt;100cps/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μCi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 xml:space="preserve">- maksymalna czułość  &gt; 450 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cps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D45774">
              <w:rPr>
                <w:rFonts w:ascii="Century Gothic" w:hAnsi="Century Gothic"/>
                <w:sz w:val="20"/>
                <w:szCs w:val="20"/>
              </w:rPr>
              <w:t>μCi</w:t>
            </w:r>
            <w:proofErr w:type="spellEnd"/>
            <w:r w:rsidRPr="00D45774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zakres mierzonych energii min: 85-200keV,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rozdzielczość kątowa min. 45º,</w:t>
            </w:r>
          </w:p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- sondy sterylizowane.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Obrazowanie miejsc wysyconych izotopem na monitorach LCD min. 19 cali, ustawione równolegle do siebie tyłem dla personelu po obu stronach 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Obrazowanie w czasie rzeczywistym – usuwana zmiana jest od razu widoczna na ekranach bez konieczności ponownego skanowania obszaru..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Monitor dotykowy min. w części zabiegowej.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Komunikacja poprzez LAN/USB, obsługa formatu DICOM.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Definiowanie i zmiana ustawień operatora – logowanie.</w:t>
            </w:r>
            <w:r w:rsidRPr="00D45774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(dane użytkownika, dane logowania)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D45774">
              <w:rPr>
                <w:rFonts w:ascii="Century Gothic" w:hAnsi="Century Gothic"/>
                <w:sz w:val="20"/>
                <w:szCs w:val="20"/>
                <w:lang w:eastAsia="en-US"/>
              </w:rPr>
              <w:t>Funkcja „wirtualnej maski” pozwalająca m.in. zasłonić miejsce iniekcji aby wykryć blisko zlokalizowane zmiany.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zdefiniowania i wyboru protokołu badania.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zdefiniowania i wyboru izotopu do badania.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zdefiniowania protokołów interwencyjnych.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akwizycji obrazów i sekwencji.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porównywania obrazów na ekranie aparatu.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Drukowanie obrazów z urządzenia.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Własna przeglądarka obrazów z akwizycji z możliwością edycji obrazów i dodawaniem komentarzy.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eastAsia="F" w:hAnsi="Century Gothic" w:cs="F"/>
                <w:sz w:val="20"/>
                <w:szCs w:val="20"/>
              </w:rPr>
              <w:t xml:space="preserve">Optymalny zakres energii: 50-200 </w:t>
            </w:r>
            <w:proofErr w:type="spellStart"/>
            <w:r w:rsidRPr="00D45774">
              <w:rPr>
                <w:rFonts w:ascii="Century Gothic" w:eastAsia="F" w:hAnsi="Century Gothic" w:cs="F"/>
                <w:sz w:val="20"/>
                <w:szCs w:val="20"/>
              </w:rPr>
              <w:t>keV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Możliwość zmiany parametrów obrazowania.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Urządzenie mobilne tzn. z możliwością pracy na kilku salach operacyjnych, na podstawie jezdnej.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System kontroli jakości.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sz w:val="20"/>
                <w:szCs w:val="20"/>
              </w:rPr>
            </w:pPr>
            <w:r w:rsidRPr="00D45774">
              <w:rPr>
                <w:rFonts w:ascii="Century Gothic" w:hAnsi="Century Gothic"/>
                <w:sz w:val="20"/>
                <w:szCs w:val="20"/>
              </w:rPr>
              <w:t>Minimalne wyposażenie urządzenia:- sterylne rękawy do urządzenia – 3 szt.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D457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6E745E">
            <w:pPr>
              <w:pStyle w:val="Standard"/>
              <w:tabs>
                <w:tab w:val="left" w:pos="2088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45774">
              <w:rPr>
                <w:rFonts w:ascii="Century Gothic" w:hAnsi="Century Gothic"/>
                <w:b/>
                <w:sz w:val="20"/>
                <w:szCs w:val="20"/>
              </w:rPr>
              <w:t>INNE WYMOGI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4" w:rsidRPr="00D45774" w:rsidRDefault="00D45774" w:rsidP="00D45774">
            <w:pPr>
              <w:pStyle w:val="Standard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b/>
                <w:sz w:val="16"/>
                <w:szCs w:val="16"/>
                <w:lang w:eastAsia="pl-PL"/>
              </w:rPr>
            </w:pP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2623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od Wykonawcy wymaga się dostarczenia w dniu </w:t>
            </w:r>
            <w:r w:rsidR="0026230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dostawy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 wytycznych instalacyjnych/dokumentacji techniczno-ruchowej niezbędnej do zainstalowania i uruchomienia urządzenia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  <w:tr w:rsidR="00D45774" w:rsidRPr="00D45774" w:rsidTr="008D6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D45774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6F067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 xml:space="preserve">Wykonawca zobowiązany jest do przygotowania wytycznych, w postaci dokumentacji, niezbędnych do złożenia wniosku do </w:t>
            </w:r>
            <w:r w:rsidRPr="006F067E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PAA w celu </w:t>
            </w: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uzyskania zezwolenia na stosowanie urządzenia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410525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774" w:rsidRPr="00D45774" w:rsidRDefault="00D45774" w:rsidP="008D6FB9">
            <w:pPr>
              <w:spacing w:before="100" w:beforeAutospacing="1" w:after="100" w:afterAutospacing="1" w:line="288" w:lineRule="auto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D45774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–</w:t>
            </w:r>
          </w:p>
        </w:tc>
      </w:tr>
    </w:tbl>
    <w:p w:rsidR="00491879" w:rsidRPr="00D45774" w:rsidRDefault="00491879" w:rsidP="00D45774">
      <w:pPr>
        <w:spacing w:before="100" w:beforeAutospacing="1" w:after="100" w:afterAutospacing="1" w:line="288" w:lineRule="auto"/>
        <w:rPr>
          <w:rFonts w:ascii="Century Gothic" w:hAnsi="Century Gothic"/>
          <w:sz w:val="20"/>
          <w:szCs w:val="20"/>
        </w:rPr>
      </w:pPr>
    </w:p>
    <w:p w:rsidR="00606D25" w:rsidRDefault="00D64B79" w:rsidP="00606D25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Warunki gwarancji, </w:t>
      </w:r>
      <w:r w:rsidR="00606D25">
        <w:rPr>
          <w:rFonts w:ascii="Century Gothic" w:hAnsi="Century Gothic"/>
          <w:b/>
          <w:color w:val="000000" w:themeColor="text1"/>
          <w:sz w:val="20"/>
          <w:szCs w:val="20"/>
        </w:rPr>
        <w:t>serwisu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 i szkolenia</w:t>
      </w:r>
    </w:p>
    <w:p w:rsidR="00606D25" w:rsidRDefault="00606D25" w:rsidP="00606D25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606D25">
            <w:pPr>
              <w:pStyle w:val="Nagwek3"/>
              <w:numPr>
                <w:ilvl w:val="2"/>
                <w:numId w:val="13"/>
              </w:numPr>
              <w:snapToGrid w:val="0"/>
              <w:spacing w:line="276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dotyczy)[liczba miesięcy]</w:t>
            </w:r>
          </w:p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606D25" w:rsidRDefault="00606D2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8A7DC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 xml:space="preserve">&gt;= </w:t>
            </w:r>
            <w:r w:rsidR="008A7DC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Inne – proporcjonalnie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mniej względem najdłuższego okresu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Zakończenie działań serwisowych – do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530E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30E97">
              <w:rPr>
                <w:rFonts w:ascii="Century Gothic" w:hAnsi="Century Gothic"/>
                <w:sz w:val="20"/>
                <w:szCs w:val="20"/>
              </w:rPr>
              <w:t>16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 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06D25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 w:rsidP="00530E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30E9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25" w:rsidRDefault="00606D2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5" w:rsidRDefault="00606D2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 w:rsidP="00530E9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szpitala, diagnostyki i konfiguracji (min. 3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7C60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6257CA" w:rsidRDefault="006257CA" w:rsidP="00606D25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6257CA" w:rsidRDefault="006257CA" w:rsidP="00606D25">
            <w:pPr>
              <w:numPr>
                <w:ilvl w:val="0"/>
                <w:numId w:val="16"/>
              </w:numPr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</w:t>
            </w:r>
            <w:r w:rsidR="000B65A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eby, w innym terminie ustalonym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z kierownikiem pracowni,</w:t>
            </w:r>
          </w:p>
          <w:p w:rsidR="006257CA" w:rsidRDefault="006257CA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257CA" w:rsidTr="003044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 w:rsidP="00606D25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CA" w:rsidRDefault="006257C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6257CA" w:rsidRDefault="006257CA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CA" w:rsidRDefault="006257C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3C5B3C" w:rsidRDefault="003C5B3C" w:rsidP="0021376C">
      <w:pPr>
        <w:spacing w:after="0" w:line="288" w:lineRule="auto"/>
        <w:rPr>
          <w:rFonts w:ascii="Century Gothic" w:hAnsi="Century Gothic"/>
          <w:b/>
          <w:color w:val="000000" w:themeColor="text1"/>
        </w:rPr>
      </w:pPr>
    </w:p>
    <w:sectPr w:rsidR="003C5B3C" w:rsidSect="004D5E87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0C" w:rsidRDefault="0024520C" w:rsidP="006F32E9">
      <w:pPr>
        <w:spacing w:after="0" w:line="240" w:lineRule="auto"/>
      </w:pPr>
      <w:r>
        <w:separator/>
      </w:r>
    </w:p>
  </w:endnote>
  <w:endnote w:type="continuationSeparator" w:id="0">
    <w:p w:rsidR="0024520C" w:rsidRDefault="0024520C" w:rsidP="006F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altName w:val="Arial"/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0C" w:rsidRDefault="0024520C" w:rsidP="006F32E9">
      <w:pPr>
        <w:spacing w:after="0" w:line="240" w:lineRule="auto"/>
      </w:pPr>
      <w:r>
        <w:separator/>
      </w:r>
    </w:p>
  </w:footnote>
  <w:footnote w:type="continuationSeparator" w:id="0">
    <w:p w:rsidR="0024520C" w:rsidRDefault="0024520C" w:rsidP="006F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87" w:rsidRDefault="004D5E87" w:rsidP="004D5E87">
    <w:pPr>
      <w:tabs>
        <w:tab w:val="center" w:pos="4536"/>
        <w:tab w:val="right" w:pos="1404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</w:pPr>
    <w:r>
      <w:rPr>
        <w:noProof/>
        <w:lang w:eastAsia="pl-PL"/>
      </w:rPr>
      <w:drawing>
        <wp:inline distT="0" distB="0" distL="0" distR="0" wp14:anchorId="5C22A625" wp14:editId="384CC5F0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5E87" w:rsidRDefault="004D5E87" w:rsidP="004D5E87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</w:pPr>
  </w:p>
  <w:p w:rsidR="004D5E87" w:rsidRPr="00ED2FC7" w:rsidRDefault="004D5E87" w:rsidP="004D5E87">
    <w:pPr>
      <w:tabs>
        <w:tab w:val="center" w:pos="4536"/>
        <w:tab w:val="right" w:pos="140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</w:t>
    </w:r>
    <w:r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5.2018.AB</w:t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4D5E87" w:rsidRPr="00ED2FC7" w:rsidRDefault="004D5E87" w:rsidP="004D5E87">
    <w:pPr>
      <w:tabs>
        <w:tab w:val="center" w:pos="4536"/>
        <w:tab w:val="right" w:pos="14040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>Załącznik nr …… do umowy</w:t>
    </w:r>
  </w:p>
  <w:p w:rsidR="00853812" w:rsidRDefault="00853812" w:rsidP="004D5E8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>
    <w:nsid w:val="0240705D"/>
    <w:multiLevelType w:val="hybridMultilevel"/>
    <w:tmpl w:val="D236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F11EF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751F7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F4FC0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317E"/>
    <w:multiLevelType w:val="hybridMultilevel"/>
    <w:tmpl w:val="BEA2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603C1D4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95F3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C2C83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720D9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C3F6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80"/>
    <w:rsid w:val="00012902"/>
    <w:rsid w:val="00047F23"/>
    <w:rsid w:val="000B65AD"/>
    <w:rsid w:val="000E5CBB"/>
    <w:rsid w:val="00194BF4"/>
    <w:rsid w:val="001B6354"/>
    <w:rsid w:val="0021376C"/>
    <w:rsid w:val="0024520C"/>
    <w:rsid w:val="00262308"/>
    <w:rsid w:val="002D0C26"/>
    <w:rsid w:val="00304466"/>
    <w:rsid w:val="00386BDE"/>
    <w:rsid w:val="003965CC"/>
    <w:rsid w:val="003C5B3C"/>
    <w:rsid w:val="003E0A53"/>
    <w:rsid w:val="00410525"/>
    <w:rsid w:val="00491879"/>
    <w:rsid w:val="004D5E87"/>
    <w:rsid w:val="004F74B9"/>
    <w:rsid w:val="005035AB"/>
    <w:rsid w:val="00530E97"/>
    <w:rsid w:val="0057493A"/>
    <w:rsid w:val="005C37E5"/>
    <w:rsid w:val="005E16E7"/>
    <w:rsid w:val="00606D25"/>
    <w:rsid w:val="0061305A"/>
    <w:rsid w:val="0061687A"/>
    <w:rsid w:val="006257CA"/>
    <w:rsid w:val="006E745E"/>
    <w:rsid w:val="006F067E"/>
    <w:rsid w:val="006F32E9"/>
    <w:rsid w:val="00702B1E"/>
    <w:rsid w:val="007B2508"/>
    <w:rsid w:val="00853812"/>
    <w:rsid w:val="008A2B11"/>
    <w:rsid w:val="008A7DC9"/>
    <w:rsid w:val="008D6FB9"/>
    <w:rsid w:val="00951104"/>
    <w:rsid w:val="00977765"/>
    <w:rsid w:val="009A633E"/>
    <w:rsid w:val="00AD3302"/>
    <w:rsid w:val="00B01F86"/>
    <w:rsid w:val="00B12F70"/>
    <w:rsid w:val="00C03C64"/>
    <w:rsid w:val="00C36480"/>
    <w:rsid w:val="00D45774"/>
    <w:rsid w:val="00D64B79"/>
    <w:rsid w:val="00E03590"/>
    <w:rsid w:val="00E12945"/>
    <w:rsid w:val="00E75603"/>
    <w:rsid w:val="00EE6402"/>
    <w:rsid w:val="00EF3932"/>
    <w:rsid w:val="00FB7A81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left="5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left="1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C5B3C"/>
    <w:pPr>
      <w:keepNext/>
      <w:numPr>
        <w:ilvl w:val="2"/>
        <w:numId w:val="12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6D25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right="14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187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491879"/>
    <w:pPr>
      <w:autoSpaceDE w:val="0"/>
    </w:pPr>
    <w:rPr>
      <w:rFonts w:ascii="Calibri, Calibri" w:eastAsia="Calibri, Calibri" w:hAnsi="Calibri, Calibri" w:cs="Calibri, Calibri"/>
      <w:color w:val="000000"/>
    </w:rPr>
  </w:style>
  <w:style w:type="table" w:styleId="Tabela-Siatka">
    <w:name w:val="Table Grid"/>
    <w:basedOn w:val="Standardowy"/>
    <w:uiPriority w:val="59"/>
    <w:rsid w:val="004918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1879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1879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4918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91879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Standard"/>
    <w:next w:val="Podtytu"/>
    <w:link w:val="TytuZnak"/>
    <w:qFormat/>
    <w:rsid w:val="003C5B3C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3C5B3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3C5B3C"/>
    <w:pPr>
      <w:numPr>
        <w:numId w:val="10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3C5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C5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C5B3C"/>
    <w:rPr>
      <w:rFonts w:ascii="Comic Sans MS" w:eastAsia="Times New Roman" w:hAnsi="Comic Sans MS" w:cs="Times New Roman"/>
      <w:b/>
      <w:bCs/>
      <w:sz w:val="18"/>
      <w:lang w:eastAsia="ar-SA"/>
    </w:rPr>
  </w:style>
  <w:style w:type="paragraph" w:styleId="Lista-kontynuacja2">
    <w:name w:val="List Continue 2"/>
    <w:basedOn w:val="Lista-kontynuacja"/>
    <w:unhideWhenUsed/>
    <w:rsid w:val="003C5B3C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satzTableFormat">
    <w:name w:val="AbsatzTableFormat"/>
    <w:basedOn w:val="Normalny"/>
    <w:autoRedefine/>
    <w:rsid w:val="003C5B3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ista-kontynuacja24">
    <w:name w:val="Lista - kontynuacja 24"/>
    <w:basedOn w:val="Normalny"/>
    <w:rsid w:val="003C5B3C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Lista-kontynuacja">
    <w:name w:val="List Continue"/>
    <w:basedOn w:val="Normalny"/>
    <w:uiPriority w:val="99"/>
    <w:semiHidden/>
    <w:unhideWhenUsed/>
    <w:rsid w:val="003C5B3C"/>
    <w:pPr>
      <w:spacing w:after="120"/>
      <w:ind w:left="283"/>
      <w:contextualSpacing/>
    </w:pPr>
  </w:style>
  <w:style w:type="character" w:customStyle="1" w:styleId="Nagwek1Znak">
    <w:name w:val="Nagłówek 1 Znak"/>
    <w:basedOn w:val="Domylnaczcionkaakapitu"/>
    <w:link w:val="Nagwek1"/>
    <w:rsid w:val="00606D2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06D2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06D25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06D25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06D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2E9"/>
  </w:style>
  <w:style w:type="paragraph" w:styleId="Stopka">
    <w:name w:val="footer"/>
    <w:basedOn w:val="Normalny"/>
    <w:link w:val="StopkaZnak"/>
    <w:uiPriority w:val="99"/>
    <w:unhideWhenUsed/>
    <w:rsid w:val="006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left="5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left="1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C5B3C"/>
    <w:pPr>
      <w:keepNext/>
      <w:numPr>
        <w:ilvl w:val="2"/>
        <w:numId w:val="12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6D25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06D25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right="14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187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491879"/>
    <w:pPr>
      <w:autoSpaceDE w:val="0"/>
    </w:pPr>
    <w:rPr>
      <w:rFonts w:ascii="Calibri, Calibri" w:eastAsia="Calibri, Calibri" w:hAnsi="Calibri, Calibri" w:cs="Calibri, Calibri"/>
      <w:color w:val="000000"/>
    </w:rPr>
  </w:style>
  <w:style w:type="table" w:styleId="Tabela-Siatka">
    <w:name w:val="Table Grid"/>
    <w:basedOn w:val="Standardowy"/>
    <w:uiPriority w:val="59"/>
    <w:rsid w:val="004918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491879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1879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4918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91879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Standard"/>
    <w:next w:val="Podtytu"/>
    <w:link w:val="TytuZnak"/>
    <w:qFormat/>
    <w:rsid w:val="003C5B3C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3C5B3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3C5B3C"/>
    <w:pPr>
      <w:numPr>
        <w:numId w:val="10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3C5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C5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C5B3C"/>
    <w:rPr>
      <w:rFonts w:ascii="Comic Sans MS" w:eastAsia="Times New Roman" w:hAnsi="Comic Sans MS" w:cs="Times New Roman"/>
      <w:b/>
      <w:bCs/>
      <w:sz w:val="18"/>
      <w:lang w:eastAsia="ar-SA"/>
    </w:rPr>
  </w:style>
  <w:style w:type="paragraph" w:styleId="Lista-kontynuacja2">
    <w:name w:val="List Continue 2"/>
    <w:basedOn w:val="Lista-kontynuacja"/>
    <w:unhideWhenUsed/>
    <w:rsid w:val="003C5B3C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satzTableFormat">
    <w:name w:val="AbsatzTableFormat"/>
    <w:basedOn w:val="Normalny"/>
    <w:autoRedefine/>
    <w:rsid w:val="003C5B3C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ista-kontynuacja24">
    <w:name w:val="Lista - kontynuacja 24"/>
    <w:basedOn w:val="Normalny"/>
    <w:rsid w:val="003C5B3C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Lista-kontynuacja">
    <w:name w:val="List Continue"/>
    <w:basedOn w:val="Normalny"/>
    <w:uiPriority w:val="99"/>
    <w:semiHidden/>
    <w:unhideWhenUsed/>
    <w:rsid w:val="003C5B3C"/>
    <w:pPr>
      <w:spacing w:after="120"/>
      <w:ind w:left="283"/>
      <w:contextualSpacing/>
    </w:pPr>
  </w:style>
  <w:style w:type="character" w:customStyle="1" w:styleId="Nagwek1Znak">
    <w:name w:val="Nagłówek 1 Znak"/>
    <w:basedOn w:val="Domylnaczcionkaakapitu"/>
    <w:link w:val="Nagwek1"/>
    <w:rsid w:val="00606D2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06D2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06D25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06D25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06D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3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2E9"/>
  </w:style>
  <w:style w:type="paragraph" w:styleId="Stopka">
    <w:name w:val="footer"/>
    <w:basedOn w:val="Normalny"/>
    <w:link w:val="StopkaZnak"/>
    <w:uiPriority w:val="99"/>
    <w:unhideWhenUsed/>
    <w:rsid w:val="006F3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2532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28</cp:revision>
  <cp:lastPrinted>2018-01-25T07:38:00Z</cp:lastPrinted>
  <dcterms:created xsi:type="dcterms:W3CDTF">2017-12-13T15:33:00Z</dcterms:created>
  <dcterms:modified xsi:type="dcterms:W3CDTF">2018-01-30T13:07:00Z</dcterms:modified>
</cp:coreProperties>
</file>