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3F" w:rsidRDefault="00BD363F" w:rsidP="00BD363F">
      <w:pPr>
        <w:pStyle w:val="Tytu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BD363F" w:rsidRDefault="00D00F44" w:rsidP="00BD363F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Stanowisko do znieczulenia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D363F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Parametry o określonych warunkach liczbowych ( „=&gt;”  lub „&lt;=” ) są warunkami granicznymi, których niespełnienie spowoduje odrzucenie oferty. </w:t>
      </w:r>
      <w:r>
        <w:rPr>
          <w:rFonts w:ascii="Century Gothic" w:hAnsi="Century Gothic"/>
          <w:sz w:val="18"/>
          <w:szCs w:val="18"/>
        </w:rPr>
        <w:t>Wartość podana przy w/w oznaczeniach oznacza wartość wymaganą.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F3142">
        <w:rPr>
          <w:rFonts w:ascii="Century Gothic" w:hAnsi="Century Gothic"/>
          <w:sz w:val="18"/>
          <w:szCs w:val="18"/>
        </w:rPr>
        <w:t>rekondycjonowanym</w:t>
      </w:r>
      <w:proofErr w:type="spellEnd"/>
      <w:r w:rsidRPr="005F3142"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Rok produkcji (min. 2017): …..............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Klasa wyrobu medycznego: 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BD363F" w:rsidRDefault="00BD363F" w:rsidP="00BD363F"/>
    <w:p w:rsidR="00BD363F" w:rsidRPr="004462F4" w:rsidRDefault="00BD363F" w:rsidP="00BD363F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 xml:space="preserve">Parametry techniczne i eksploatacyjne </w:t>
      </w:r>
    </w:p>
    <w:p w:rsidR="00A47C81" w:rsidRPr="00781DC0" w:rsidRDefault="00A47C81" w:rsidP="00A47C81">
      <w:pPr>
        <w:rPr>
          <w:lang w:val="en-US"/>
        </w:rPr>
      </w:pPr>
    </w:p>
    <w:p w:rsidR="00A47C81" w:rsidRPr="00781DC0" w:rsidRDefault="00A47C81" w:rsidP="00A47C81">
      <w:pPr>
        <w:rPr>
          <w:lang w:val="en-US"/>
        </w:rPr>
      </w:pPr>
    </w:p>
    <w:tbl>
      <w:tblPr>
        <w:tblW w:w="1304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2410"/>
      </w:tblGrid>
      <w:tr w:rsidR="00781DC0" w:rsidTr="00BD36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5E56A9" w:rsidRDefault="00781DC0" w:rsidP="005E56A9"/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D00F44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Stanowisko do znieczulenia - </w:t>
            </w:r>
            <w:r w:rsidR="00781DC0" w:rsidRPr="00935E93">
              <w:rPr>
                <w:rFonts w:ascii="Century Gothic" w:hAnsi="Century Gothic" w:cs="Arial"/>
                <w:sz w:val="16"/>
                <w:szCs w:val="16"/>
              </w:rPr>
              <w:t>Aparat do znieczulania ogólnego, jezdny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Wymiary zewnętrzne (wysokość x szerokość x głębokość) [cm]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Masa (kg)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60" w:after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Zasilanie dostosowane do  230 [V], 50 [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Hz</w:t>
            </w:r>
            <w:proofErr w:type="spellEnd"/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]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Aparat wyposażony m. in. w blat do pisania, uchwyt do zapasowej butli tlenowej  i min. 1 szufladę na akcesoria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Wbudowane fabrycznie gniazda elektryczne 230 [V] (minimum 3 gniazda) umieszczone z tyłu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Indywidualne, automatyczne, bezpieczniki gniazd elektrycznych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1 pkt.,</w:t>
            </w:r>
          </w:p>
          <w:p w:rsidR="00781DC0" w:rsidRPr="00935E93" w:rsidRDefault="00781DC0" w:rsidP="00935E93">
            <w:pPr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Zasilanie gazowe (N2O, O2, powietrze) z sieci  centralnej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Możliwość awaryjnego zasilania gazowego z butli O2[l]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  <w:p w:rsidR="00781DC0" w:rsidRPr="00935E93" w:rsidRDefault="00781DC0" w:rsidP="00935E93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min. 5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Uchwyt na 2 butle o pojemności 10 [l]: tlenową i podtlenku azotu umieszczony na tylnej ścianie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Awaryjne zasilanie elektryczne aparatu na min. </w:t>
            </w: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br/>
              <w:t>60 minut w warunkach standardowych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Reduktory do butli O2 ze złączami, wyposażone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>w przyłącze do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13.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Prezentacja ciśnień gazów zasilających na ekranie respiratora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Ssak iniektorowy z regulacją siły ssania i zbiornikiem na wydzieliny o pojemności  min. 0, 7 [l] oraz minimum jednym zapasowym wymiennym zbiornikiem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20470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Aktywne miejsce w układzie dla parownika (klasycznego lub elektronicznego)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System uniemożliwiający jednoczesną podaż dwóch środków wziewnych jednocześnie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SYSTEM DYSTRYBUCJI GAZÓW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Precyzyjne, elektroniczne lub rotametryczne przepływomierze dla tlenu, podtlenku azotu i powietrza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Elektroniczne – 5 pkt. Rotametryczne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Wyświetlanie przepływu gazów przy pomocy wirtualnych przepływomierzy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3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Zintegrowany (lub wbudowany) zapasowy awaryjny mechaniczny przepływomierz  tlenowy z przepływem tlenu minimum 10 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System automatycznego utrzymywania stężenia tlenu w mieszaninie z podtlenkiem azotu na poziomie min. 25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Mieszalnik świeżych gazów zapewniający stałe stężenie tlenu przy zmianie wielkości przepływu świeżych gazów; mieszalnik sterowany elektronicznie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3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Przepływomierze umożliwiające podaż gazów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w systemie anestezji z niskimi i minimalnymi przepływami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UKŁAD ODDECHOWY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Kompaktowy układ oddechowy okrężny do wentylacji dorosłych i dzieci o niskiej podatności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Układ oddechowy o prostej budowie, łatwy do wymiany i sterylizacji, pozbawiony lateksu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Układ kompaktowy, wbudowany,  nie wystający poza rzut podstawy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Układ przystosowany do prowadzenia znieczulenia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>w systemach półotwartym i półzamkniętym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Obejście tlenowe o dużej wydajności[l/min]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7E60F0" w:rsidRDefault="00781DC0" w:rsidP="0020470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35 [l/min/] i więcej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niższe wartości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Wielorazowy pochłaniacz dwutlenku węgla o obudowie przeziernej i pojemności max. 1,5 [l] (możliwość stosowania pochłaniaczy wielorazowych i jednorazowych)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7E60F0" w:rsidRDefault="00781DC0" w:rsidP="0020470F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Możliwość zmiany podczas  znieczulenia bez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rozszczelniania</w:t>
            </w:r>
            <w:proofErr w:type="spellEnd"/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układu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7E60F0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E60F0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7E60F0" w:rsidRDefault="00781DC0" w:rsidP="005B2B3C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Eliminacja gazów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poanestetycznych</w:t>
            </w:r>
            <w:proofErr w:type="spellEnd"/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poza salę operacyjną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RESPIRATOR ANESTETYCZNY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Tryby wentylacji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Możliwość prowadzenia wentylacji ręcznej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ciśnieniowo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objętościowo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SIMV – synchronizowana przerywana wentylacja wymuszona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SIMV/PS – wentylacja synchronizowana ze wspomaganiem ciśnieniowym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TAK – </w:t>
            </w: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Precyzyjny wyzwalacz przepływowy z precyzyjną regulacją czułości                             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PSV z zabezpieczeniem na wypadek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Automatyczne przełączenie na wentylację mechaniczną po wykryciu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20" w:after="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Tryb wentylacji z docelową lub gwarantowaną objętością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Awaryjny, mechaniczny tryb wentylacji po zaniku dopływu świeżych gazów z sieci centralnej i butli rezerwowych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TAK – </w:t>
            </w: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Podawanie (na żądanie) dodatkowego jednego oddechu pod określonym ciśnieniem i przez określony czas – bez wykonywania zmian w ustawieniach respiratora – wentylacja mechaniczna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42.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możliwość włączenia wielostopniowej funkcji rekrutacji pęcherzyków płucnych w trybie wentylacji mechanicznej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1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Zakres PEEP - min. od 4 [cm H2O] do 20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Regulacje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Standard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Regulacja stosunku wdechu do wydechu – minimum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br/>
              <w:t>2 : 1 do 1 : 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781DC0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Regulacja częst</w:t>
            </w:r>
            <w:r>
              <w:rPr>
                <w:rFonts w:ascii="Century Gothic" w:hAnsi="Century Gothic" w:cs="Arial"/>
                <w:sz w:val="16"/>
                <w:szCs w:val="16"/>
              </w:rPr>
              <w:t>ości oddechu - minimum od 4 do 8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0 [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odd</w:t>
            </w:r>
            <w:proofErr w:type="spellEnd"/>
            <w:r w:rsidRPr="00935E93">
              <w:rPr>
                <w:rFonts w:ascii="Century Gothic" w:hAnsi="Century Gothic" w:cs="Arial"/>
                <w:sz w:val="16"/>
                <w:szCs w:val="16"/>
              </w:rPr>
              <w:t>/min] (wentylacja objętościowa i ciśnieniowa)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02230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Zakres objętości </w:t>
            </w:r>
            <w:r>
              <w:rPr>
                <w:rFonts w:ascii="Century Gothic" w:hAnsi="Century Gothic" w:cs="Arial"/>
                <w:sz w:val="16"/>
                <w:szCs w:val="16"/>
              </w:rPr>
              <w:t>oddechowej - minimum od 20 do 14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00 [ml]; (wentylacja objętościowa)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Regulacja ciśnienia wdechu przy PCV - minimum: od 5 do 60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Regulowana płynnie lub skokowo pauza wdechowa w zakresie minimum 5-50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Alarmy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Niskiej pojemności minutowej MV i / lub oddechowej TV z regulowanymi progami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 w:rsidR="006237CD">
              <w:rPr>
                <w:rFonts w:ascii="Century Gothic" w:hAnsi="Century Gothic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6237CD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MV i TV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tylko MV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minimalnego i maksymalnego ciśnienia wdechowego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braku zasilania w energię elektryczną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braku zasilania w gazy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Alarm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Apnea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Inne wyżej nie wymienione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EE554B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3 alarmy lub więcej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mniejsza liczba – 1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brak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POMIAR I OBRAZOWANIE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Stężenie tlenu w gazach oddechowych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objętości oddechowej TV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pojemności minutowej MV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częstotliwości oddechowej f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szczytowego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Plateau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średniego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Ciśnienia PEEP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Częstość oddychania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manometr pomiaru ciśnienia w drogach oddechowych wyświetlany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EE554B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Elektroniczny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mechaniczny – 1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brak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4608DE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Stężenie wdechowe i wydechowe tlenu w gazach oddechowych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C8592D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4608DE">
            <w:pPr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Pomiar stężenia środków anestetycznych dla mieszaniny wdechowej i wydechowej dla: podtlenku azotu, </w:t>
            </w:r>
            <w:proofErr w:type="spellStart"/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izofluranu</w:t>
            </w:r>
            <w:proofErr w:type="spellEnd"/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sevofluranu</w:t>
            </w:r>
            <w:proofErr w:type="spellEnd"/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desfluranu</w:t>
            </w:r>
            <w:proofErr w:type="spellEnd"/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C8592D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4608DE">
            <w:pPr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Automatyczna identyfikacja anestetyku wziewnego i pomiar MAC w aparacie do znieczulania  z uwzględnieniem wieku pacjenta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781DC0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781DC0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C8592D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C8592D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781DC0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omiar i obrazowanie spirometrii </w:t>
            </w:r>
            <w:r w:rsidRPr="00935E93">
              <w:rPr>
                <w:rFonts w:ascii="Century Gothic" w:hAnsi="Century Gothic" w:cs="Arial"/>
                <w:sz w:val="16"/>
                <w:szCs w:val="16"/>
              </w:rPr>
              <w:t>co najmniej: krzywa ciśnienia, krzywa objętości, pętla ciśnienie – objętość.</w:t>
            </w:r>
          </w:p>
          <w:p w:rsidR="00781DC0" w:rsidRPr="00935E93" w:rsidRDefault="00781DC0" w:rsidP="00781DC0">
            <w:pPr>
              <w:snapToGrid w:val="0"/>
              <w:spacing w:line="360" w:lineRule="auto"/>
              <w:ind w:left="229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5742FC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781DC0">
              <w:rPr>
                <w:rFonts w:ascii="Century Gothic" w:hAnsi="Century Gothic" w:cs="Arial"/>
                <w:sz w:val="16"/>
                <w:szCs w:val="16"/>
              </w:rPr>
              <w:tab/>
            </w: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742F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Pomiar z wyświetlaniem podatności i oporu dróg oddechowych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1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PREZENTACJA 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RPr="00935E93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Ekran kolorowy do prezentacji parametrów znieczulenia i krzywych o przekątnej minimum 12 [”] oraz rozdzielczości minimum 800x600 [pikseli]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after="60" w:line="360" w:lineRule="auto"/>
              <w:rPr>
                <w:rFonts w:ascii="Century Gothic" w:hAnsi="Century Gothic" w:cs="Arial"/>
                <w:sz w:val="16"/>
                <w:szCs w:val="16"/>
                <w:u w:val="single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u w:val="single"/>
              </w:rPr>
              <w:t>Oddzielna punktacja za:</w:t>
            </w:r>
          </w:p>
          <w:p w:rsidR="00781DC0" w:rsidRPr="00935E93" w:rsidRDefault="00781DC0" w:rsidP="00935E93">
            <w:pPr>
              <w:numPr>
                <w:ilvl w:val="0"/>
                <w:numId w:val="2"/>
              </w:numPr>
              <w:spacing w:after="60" w:line="360" w:lineRule="auto"/>
              <w:ind w:left="357" w:hanging="357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przekątną:</w:t>
            </w:r>
          </w:p>
          <w:p w:rsidR="00781DC0" w:rsidRPr="00935E93" w:rsidRDefault="00781DC0" w:rsidP="00935E93">
            <w:pPr>
              <w:spacing w:line="360" w:lineRule="auto"/>
              <w:ind w:left="370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przekątna 15 [”] lub większa – 3 pkt.,</w:t>
            </w:r>
          </w:p>
          <w:p w:rsidR="00781DC0" w:rsidRPr="00935E93" w:rsidRDefault="00781DC0" w:rsidP="00935E93">
            <w:pPr>
              <w:spacing w:after="120" w:line="360" w:lineRule="auto"/>
              <w:ind w:left="369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mniejsze przekątne – 1 pkt.</w:t>
            </w:r>
          </w:p>
          <w:p w:rsidR="00781DC0" w:rsidRPr="00935E93" w:rsidRDefault="00781DC0" w:rsidP="00935E93">
            <w:pPr>
              <w:numPr>
                <w:ilvl w:val="0"/>
                <w:numId w:val="2"/>
              </w:numPr>
              <w:spacing w:after="60" w:line="360" w:lineRule="auto"/>
              <w:ind w:left="357" w:hanging="357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rozdzielczość:</w:t>
            </w:r>
          </w:p>
          <w:p w:rsidR="00781DC0" w:rsidRPr="00935E93" w:rsidRDefault="00781DC0" w:rsidP="00935E93">
            <w:pPr>
              <w:spacing w:line="360" w:lineRule="auto"/>
              <w:ind w:left="370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rozdzielczość wymagana – 1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ind w:left="370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wyższa niż wymagana – 3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Ekran wentylacji pojedynczy na ruchomym wysięgniku </w:t>
            </w: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lub wbudowany w przednią ścianę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lastRenderedPageBreak/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Sposób sterowania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Ekran dotykowy – 2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inne rozwiązania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Prezentacja prężności dwutlenku węgla, CO2 w strumieniu wdechowym i wydechowym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Obrazowanie krzywej koncentracji anestetyku wziewnego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Obrazowanie krzywej ciśnienia w drogach oddechowych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color w:val="000000"/>
                <w:sz w:val="16"/>
                <w:szCs w:val="16"/>
              </w:rPr>
              <w:t>Prezentacja trendów parametrów mierzonych [godz.]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min. 6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10 [godz.] i więcej – 2 pkt.,</w:t>
            </w:r>
          </w:p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mniej niż 10 [godz.]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Funkcja optymalnego doboru przepływu świeżych gazów, np. w technice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Low</w:t>
            </w:r>
            <w:proofErr w:type="spellEnd"/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Flow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Podać</w:t>
            </w:r>
            <w:proofErr w:type="spellEnd"/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0566CA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before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TAK – 2 pkt.,</w:t>
            </w:r>
          </w:p>
          <w:p w:rsidR="00781DC0" w:rsidRPr="00935E93" w:rsidRDefault="00781DC0" w:rsidP="00935E93">
            <w:pPr>
              <w:spacing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NIE – 0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INNE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0566CA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0566CA" w:rsidRDefault="00781DC0" w:rsidP="0063656F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Parowniki do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sevofluranu</w:t>
            </w:r>
            <w:proofErr w:type="spellEnd"/>
            <w:r w:rsidRPr="00935E93">
              <w:rPr>
                <w:rFonts w:ascii="Century Gothic" w:hAnsi="Century Gothic" w:cs="Arial"/>
                <w:sz w:val="16"/>
                <w:szCs w:val="16"/>
              </w:rPr>
              <w:t xml:space="preserve"> i </w:t>
            </w:r>
            <w:proofErr w:type="spellStart"/>
            <w:r w:rsidRPr="00935E93">
              <w:rPr>
                <w:rFonts w:ascii="Century Gothic" w:hAnsi="Century Gothic" w:cs="Arial"/>
                <w:sz w:val="16"/>
                <w:szCs w:val="16"/>
              </w:rPr>
              <w:t>izofluranu</w:t>
            </w:r>
            <w:proofErr w:type="spellEnd"/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0566CA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66CA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0566CA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pacing w:line="360" w:lineRule="auto"/>
              <w:rPr>
                <w:rFonts w:ascii="Century Gothic" w:hAnsi="Century Gothic" w:cs="Arial"/>
                <w:kern w:val="20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kern w:val="20"/>
                <w:sz w:val="16"/>
                <w:szCs w:val="16"/>
              </w:rPr>
              <w:t>Klasyczne – 2 pkt.,</w:t>
            </w:r>
          </w:p>
          <w:p w:rsidR="00781DC0" w:rsidRPr="00935E93" w:rsidRDefault="00781DC0" w:rsidP="00935E93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kern w:val="20"/>
                <w:sz w:val="16"/>
                <w:szCs w:val="16"/>
              </w:rPr>
              <w:t>elektroniczne – 1 pkt.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Komunikacja z aparatem w języku polskim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935E93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781DC0" w:rsidRPr="00935E93" w:rsidRDefault="00781DC0" w:rsidP="005B2B3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935E93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5742FC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DC0" w:rsidRPr="00935E93" w:rsidRDefault="00781DC0" w:rsidP="005742FC">
            <w:pPr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Aparaty do znieczulenia ogólnego oraz kardiomonitory funkcji życiowych– jednego producenta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81DC0" w:rsidRPr="00935E93" w:rsidRDefault="00781DC0" w:rsidP="005742F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935E93" w:rsidRDefault="00781DC0" w:rsidP="005742FC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81DC0" w:rsidRPr="00935E93" w:rsidRDefault="00781DC0" w:rsidP="005742FC">
            <w:pPr>
              <w:snapToGrid w:val="0"/>
              <w:spacing w:before="40" w:after="4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b/>
                <w:sz w:val="16"/>
                <w:szCs w:val="16"/>
              </w:rPr>
              <w:t xml:space="preserve">KARDIOMONITOR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Kardiomonitor modułowy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min. 15 [‘]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(działający w systemie wymiennych modułów pomiarowych)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dedykowany do zastosowań w obszarze intensywne</w:t>
            </w:r>
            <w:r>
              <w:rPr>
                <w:rFonts w:ascii="Century Gothic" w:hAnsi="Century Gothic" w:cs="Arial"/>
                <w:sz w:val="16"/>
                <w:szCs w:val="16"/>
              </w:rPr>
              <w:t>j terapii i bloku operacyjnego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44561B" w:rsidRDefault="00781DC0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561B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44561B" w:rsidRDefault="00781DC0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Wszystkie moduły przenoszone między monitorami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br/>
              <w:t>w sposób zapewniający automatyczną zmianę konfiguracji ekranu, uwzględniającą pojawienie się odpowiednich parametrów, bez zakłócania pracy monitora.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Sterowanie funkcjami pomiarowymi dla wszystkich wymaganych parametrów – bezpośrednio z ekranu zaoferowanego monitora </w:t>
            </w:r>
          </w:p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b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 w:cs="Arial"/>
                <w:i/>
                <w:sz w:val="16"/>
                <w:szCs w:val="16"/>
              </w:rPr>
              <w:t xml:space="preserve">nie dotyczy pomiarów dopuszczonych </w:t>
            </w:r>
            <w:r w:rsidRPr="002A78AF">
              <w:rPr>
                <w:rFonts w:ascii="Century Gothic" w:hAnsi="Century Gothic" w:cs="Arial"/>
                <w:i/>
                <w:sz w:val="16"/>
                <w:szCs w:val="16"/>
              </w:rPr>
              <w:br/>
              <w:t>w formie urządzeń zewnętrznych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 zestawie do każdego monitora uchwyt montażowy umożliwiający regulację położenia monitora w płaszczyźnie pionowej i poziomej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Monitor przystosowany do dezynfekcji i odkażania. </w:t>
            </w:r>
          </w:p>
          <w:p w:rsidR="00781DC0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B18FA">
              <w:rPr>
                <w:rFonts w:ascii="Century Gothic" w:hAnsi="Century Gothic" w:cs="Arial"/>
                <w:b/>
                <w:sz w:val="16"/>
                <w:szCs w:val="16"/>
              </w:rPr>
              <w:t>UWAGA: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 w:cs="Arial"/>
                <w:i/>
                <w:sz w:val="16"/>
                <w:szCs w:val="16"/>
              </w:rPr>
              <w:t>Podać środki dezynfekcyjne (min. 2</w:t>
            </w:r>
            <w:r>
              <w:rPr>
                <w:rFonts w:ascii="Century Gothic" w:hAnsi="Century Gothic" w:cs="Arial"/>
                <w:i/>
                <w:sz w:val="16"/>
                <w:szCs w:val="16"/>
              </w:rPr>
              <w:t xml:space="preserve"> – nazwy i producenci</w:t>
            </w:r>
            <w:r w:rsidRPr="002A78AF">
              <w:rPr>
                <w:rFonts w:ascii="Century Gothic" w:hAnsi="Century Gothic" w:cs="Arial"/>
                <w:i/>
                <w:sz w:val="16"/>
                <w:szCs w:val="16"/>
              </w:rPr>
              <w:t>) dopuszczone do stosowania przez producenta urządzenia.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Kompatybilność modułów pomiarowych dla wszystk</w:t>
            </w:r>
            <w:r>
              <w:rPr>
                <w:rFonts w:ascii="Century Gothic" w:hAnsi="Century Gothic" w:cs="Arial"/>
                <w:sz w:val="16"/>
                <w:szCs w:val="16"/>
              </w:rPr>
              <w:t>ich oferowanych kardiomonitorów (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>dotyczy modułów pomiarowych dla min.: EKG, inwazyjny i nieinwazyjny pomiar ciśnienia krwi, saturacja, temperatura, kapnografia)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44561B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561B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44561B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Wszystkie akcesoria pomiarowe kompatybilne ze wszystkimi oferowanymi monitorami oraz z elementem/modułem transportowym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Możliwość jednoczesnego monitorowania co najmniej następujących </w:t>
            </w:r>
          </w:p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-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EKG (3/7/12 </w:t>
            </w:r>
            <w:proofErr w:type="spellStart"/>
            <w:r w:rsidRPr="002A78AF">
              <w:rPr>
                <w:rFonts w:ascii="Century Gothic" w:hAnsi="Century Gothic" w:cs="Arial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 w:cs="Arial"/>
                <w:sz w:val="16"/>
                <w:szCs w:val="16"/>
              </w:rPr>
              <w:t>)/ST/Arytmia,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oddech,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saturacja krwi SpO2,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ciśnienie krwi metodą nieinwazyjną,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temperatura (dwa tory pomiarowe),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ciśnienie metodą inwazyjną (przynajmniej 2 tory pomiarowe),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głębokość uśpienia BIS lub entropia,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pomiar transmisji nerwowo-mięśniowej NMT,</w:t>
            </w:r>
          </w:p>
          <w:p w:rsidR="00781DC0" w:rsidRPr="0044561B" w:rsidRDefault="00781DC0" w:rsidP="005742FC">
            <w:pPr>
              <w:pStyle w:val="Standard"/>
              <w:numPr>
                <w:ilvl w:val="0"/>
                <w:numId w:val="3"/>
              </w:numPr>
              <w:spacing w:line="288" w:lineRule="auto"/>
              <w:ind w:left="0" w:firstLine="0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ciągły rzut minutowy serca,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Oprogramowanie i pomiary kardiomonitora dostosowane do </w:t>
            </w:r>
            <w:r>
              <w:rPr>
                <w:rFonts w:ascii="Century Gothic" w:hAnsi="Century Gothic" w:cs="Arial"/>
                <w:sz w:val="16"/>
                <w:szCs w:val="16"/>
              </w:rPr>
              <w:t>różnych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kategorii wiekowych pacjentów (dziecko/dorosły)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Monitor  wyposażony w maksymalnie jeden ekran typu TFT: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4"/>
              </w:numPr>
              <w:spacing w:line="288" w:lineRule="auto"/>
              <w:ind w:left="0" w:firstLine="0"/>
              <w:rPr>
                <w:rFonts w:ascii="Century Gothic" w:hAnsi="Century Gothic" w:cs="Arial"/>
                <w:color w:val="00B0F0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przekątna ekranu min. 15["], </w:t>
            </w:r>
          </w:p>
          <w:p w:rsidR="00781DC0" w:rsidRPr="002A78AF" w:rsidRDefault="00781DC0" w:rsidP="005742FC">
            <w:pPr>
              <w:pStyle w:val="Standard"/>
              <w:numPr>
                <w:ilvl w:val="0"/>
                <w:numId w:val="4"/>
              </w:numPr>
              <w:spacing w:line="288" w:lineRule="auto"/>
              <w:ind w:left="0" w:firstLine="0"/>
              <w:rPr>
                <w:rFonts w:ascii="Century Gothic" w:hAnsi="Century Gothic" w:cs="Arial"/>
                <w:color w:val="00B0F0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rozdzielczość min. 1024x768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Komunikacja monitora z użytkownikiem w języku polskim</w:t>
            </w:r>
            <w:r>
              <w:rPr>
                <w:rFonts w:ascii="Century Gothic" w:hAnsi="Century Gothic"/>
                <w:color w:val="00000A"/>
                <w:sz w:val="16"/>
                <w:szCs w:val="16"/>
              </w:rPr>
              <w:t>, o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bsługa i sterowanie monitorem poprzez ekran dotykowy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81DC0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DC0" w:rsidRPr="002A78AF" w:rsidRDefault="00781DC0" w:rsidP="005742FC">
            <w:pPr>
              <w:pStyle w:val="Default"/>
              <w:spacing w:after="120"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Kardiomonitory wyposażone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 xml:space="preserve">w </w:t>
            </w:r>
            <w:r w:rsidRPr="0044561B">
              <w:rPr>
                <w:rFonts w:ascii="Century Gothic" w:hAnsi="Century Gothic"/>
                <w:color w:val="00000A"/>
                <w:sz w:val="16"/>
                <w:szCs w:val="16"/>
              </w:rPr>
              <w:t>element/moduł transportowy</w:t>
            </w:r>
            <w:r w:rsidRPr="002A78AF">
              <w:rPr>
                <w:rFonts w:ascii="Century Gothic" w:hAnsi="Century Gothic"/>
                <w:b/>
                <w:color w:val="00000A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zabierany z pacjentem na czas transportu, zapewniający ciągłość monitorowania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(bez jakichkolwiek przerw)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przynajmniej podstawowych parametrów (EKG, Oddech, NIBP, IBP, SpO2, temperatura), o masie wraz z akumulatorem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nieprzekraczającej 5 [kg].</w:t>
            </w:r>
          </w:p>
          <w:p w:rsidR="00781DC0" w:rsidRPr="002A78AF" w:rsidRDefault="00781DC0" w:rsidP="005742FC">
            <w:pPr>
              <w:pStyle w:val="Default"/>
              <w:spacing w:after="120"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Zasilanie akumulatorowe elementu/modułu transportowego min. 3 [godz.].</w:t>
            </w:r>
          </w:p>
          <w:p w:rsidR="00781DC0" w:rsidRPr="002A78AF" w:rsidRDefault="00781DC0" w:rsidP="005742FC">
            <w:pPr>
              <w:pStyle w:val="Default"/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Element/moduł transportowy chłodzony konwekcyjne, bez użycia wentylatora.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1DC0" w:rsidRPr="002A78AF" w:rsidRDefault="00781DC0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81DC0" w:rsidRPr="005A0F89" w:rsidRDefault="00781DC0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81DC0" w:rsidRPr="002A78AF" w:rsidRDefault="00781DC0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Co najmniej 5 niezależnych konfiguracji ekranu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z możliwością łatwego ich przełączania bez utraty danych pacjenta.</w:t>
            </w:r>
          </w:p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Poszczególne konfiguracje programowane przez użytkownika, bez konieczności wzywania autoryzowanego serwisu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Pamięć różnych zestawów konfiguracji ekranu i innych funkcji monitora z łatwym przełączaniem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oraz możliwość ich modyfikacji w trakcie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Minimum 6 różnych krzywych dynamicznych wyświetlanych na ekranie jednocześnie (bez użycia funkcji 12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EKG)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Oprogramowanie umożliwiające tworzenie raportów z przebiegu monitorowania – drukowanie na centralnej drukarce oraz na sieciowej drukarce laserowej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Monitor dostosowany do pracy w systemie centralnego monitorowania, wyposażony w kartę sieciową do połączenia ze stacją centralnego monitorowania i innymi monitorami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Monitor posiadający możliwość jednoczesnego podłączenia co najmniej 3 zewnętrznych urządzeń medycznych z grupy:</w:t>
            </w:r>
          </w:p>
          <w:p w:rsidR="00A24EBB" w:rsidRPr="002A78AF" w:rsidRDefault="00A24EBB" w:rsidP="005742FC">
            <w:pPr>
              <w:pStyle w:val="Default"/>
              <w:numPr>
                <w:ilvl w:val="0"/>
                <w:numId w:val="5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respirator lub aparat do znieczulania (sale operacyjne),</w:t>
            </w:r>
          </w:p>
          <w:p w:rsidR="00A24EBB" w:rsidRPr="002A78AF" w:rsidRDefault="00A24EBB" w:rsidP="005742FC">
            <w:pPr>
              <w:pStyle w:val="Default"/>
              <w:numPr>
                <w:ilvl w:val="0"/>
                <w:numId w:val="5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pompa infuzyjna,</w:t>
            </w:r>
          </w:p>
          <w:p w:rsidR="00A24EBB" w:rsidRPr="002A78AF" w:rsidRDefault="00A24EBB" w:rsidP="005742FC">
            <w:pPr>
              <w:pStyle w:val="Default"/>
              <w:numPr>
                <w:ilvl w:val="0"/>
                <w:numId w:val="5"/>
              </w:numPr>
              <w:spacing w:after="60"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monitor hemodynamiczny (ciągłego rzutu minutowego serca).</w:t>
            </w:r>
          </w:p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podłączenie musi umożliwiać odczyt danych pomiarowych z urządzeń zewnętrznych na ekranie monitora oraz  przesyłanie ich do stacji centralnego monitorowania i systemów szpitalnych poprzez protokół HL7.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726B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after="60"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 z możliwością rozbudowy o dostęp do szpitalnego systemu bazy danych z komputerową historią choroby pacjenta.</w:t>
            </w:r>
          </w:p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i/>
                <w:color w:val="00000A"/>
                <w:sz w:val="16"/>
                <w:szCs w:val="16"/>
              </w:rPr>
              <w:t xml:space="preserve">możliwość dostępu oznacza podgląd </w:t>
            </w:r>
            <w:r w:rsidRPr="002A78AF">
              <w:rPr>
                <w:rFonts w:ascii="Century Gothic" w:hAnsi="Century Gothic"/>
                <w:i/>
                <w:color w:val="00000A"/>
                <w:sz w:val="16"/>
                <w:szCs w:val="16"/>
              </w:rPr>
              <w:br/>
              <w:t>i dokonywanie wpisów, zleceń, itp. danych.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Monitor z możliwością  rozbudowy o dostęp do udostępnianych w sieci informacji z systemu HIS –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Hospital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Information System za pośrednictwem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lastRenderedPageBreak/>
              <w:t>standardowego interfejsu HL7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 z możliwością rozbudowy o dostęp do obrazów radiologicznych i innych z diagnostyki obrazowej udostępnianych w sieci Intranet przez szpital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Komunikacja pomiędzy monitorami – w postaci co najmniej podglądu danych i sygnalizacji alarmów występujących w innych monitorach znajdujących się w sieci monitorowania.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Trendy wszystkich monitorowanych parametrów w postaci cyfrowej i graficznej z ostatnich minimum 24 [godz.]</w:t>
            </w:r>
          </w:p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Możliwość wyświetlania trendów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w zaprogramowanych grupach.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Historia alarmów  - min. 50 przypadków wraz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z min. 4 krzywymi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Czasowe wyciszenie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726B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726BE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726B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Automatyczne ustawianie granic alarmowych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 xml:space="preserve">w monitorze w stosunku do aktualnych pomiarów pacjenta. </w:t>
            </w:r>
          </w:p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Ręczne ustawianie granic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sz w:val="16"/>
                <w:szCs w:val="16"/>
              </w:rPr>
              <w:t>Pomiar EKG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Monitorowanie 12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EKG – wyświetlanie od 1 do 12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jednocześnie – programowane przez użytkownika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Wieloodprowadzeniowa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analiza EKG do zliczania częstości akcji serca i do analizy arytmii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726B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Minimum 2 odprowadzenia analizowane jednocześnie, z możliwością używania tylko 1-go odprowadzenia do analizy.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Klasyfikacja minimum 12 rodzajów zaburzeń rytmu wraz z alarmami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726B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Wartość wymagana – 1 pkt.,</w:t>
            </w:r>
          </w:p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wyższa niż wymagana – 2 </w:t>
            </w: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pkt.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Pomiaru pulsu z sygnału EKG [1/min]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zakres min. od 20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br/>
              <w:t>do 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Analiza odcinka ST z wszystkich 12-tu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(w przypadku monitorowania 12-tu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)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 xml:space="preserve">z prezentacją w czasie rzeczywistym (krzywe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>i wartości odcinka ST)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Monitorowanie ST – z każdego monitorowanego odprowadzenia[mm]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 </w:t>
            </w:r>
          </w:p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zakres min. od -10,0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br/>
              <w:t>do +10,0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W komplecie dla każdego monitora wielorazowy przewód EKG 3 odprowadzeniowy oraz wielorazowy przewód do monitorowania 12 </w:t>
            </w:r>
            <w:proofErr w:type="spellStart"/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odprowadzeń</w:t>
            </w:r>
            <w:proofErr w:type="spellEnd"/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EKG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br/>
              <w:t>(5- lub 6- lub 12-elektrodowy)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BD363F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 xml:space="preserve">częstości oddechu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częstości oddechu metodą impedancyjną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Wyświetlane wartości cyfrowe i fala oddechu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Minimalny zakres pomiarowy [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odd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./min]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  <w:lang w:val="en-US"/>
              </w:rPr>
              <w:t xml:space="preserve"> </w:t>
            </w:r>
          </w:p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Arial"/>
                <w:color w:val="00000A"/>
                <w:sz w:val="16"/>
                <w:szCs w:val="16"/>
              </w:rPr>
              <w:t>od 1 do 150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Dokładność pomiaru w zakresie min. od 1 do 120 [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odd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./min] nie gorsza niż +/-1 oddech lub 2% pomiaru (w zależności od tego, która dokładność jest lepsza)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EE1B37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sz w:val="16"/>
                <w:szCs w:val="16"/>
              </w:rPr>
              <w:t xml:space="preserve">Pomiar </w:t>
            </w: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Algorytm pomiarowy odporny na niską perfuzję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br/>
              <w:t xml:space="preserve">i artefakty ruchowe oparty na technologiach: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Masimo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lastRenderedPageBreak/>
              <w:t xml:space="preserve">lub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Nellcor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Standard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Technologia </w:t>
            </w:r>
            <w:proofErr w:type="spellStart"/>
            <w:r w:rsidRPr="002A78AF">
              <w:rPr>
                <w:rFonts w:ascii="Century Gothic" w:hAnsi="Century Gothic" w:cs="Arial"/>
                <w:sz w:val="16"/>
                <w:szCs w:val="16"/>
              </w:rPr>
              <w:t>Nellcor</w:t>
            </w:r>
            <w:proofErr w:type="spellEnd"/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– 2 pkt.,</w:t>
            </w:r>
          </w:p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 xml:space="preserve">Technologia </w:t>
            </w:r>
            <w:proofErr w:type="spellStart"/>
            <w:r w:rsidRPr="002A78AF">
              <w:rPr>
                <w:rFonts w:ascii="Century Gothic" w:hAnsi="Century Gothic" w:cs="Arial"/>
                <w:sz w:val="16"/>
                <w:szCs w:val="16"/>
              </w:rPr>
              <w:t>Masimo</w:t>
            </w:r>
            <w:proofErr w:type="spellEnd"/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– 1 pkt.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Wyświetlane wartości cyfrowe saturacji tętna i krzywa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pletyzmograficzna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Alarm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desaturacji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Możliwość podłączenia drugiego modułu do pomiaru 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komplecie dla każdego monitora wielorazowy czujnik pomiarowy na palec oraz 10 [szt.] wielorazowych czujników na ucho na wszystkie stanowiska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 na żądanie, automatyczny co określony czas, ciągłe pomiary przez określony czas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DE5FF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Z funkcją </w:t>
            </w:r>
            <w:proofErr w:type="spellStart"/>
            <w:r w:rsidRPr="002A78AF">
              <w:rPr>
                <w:rFonts w:ascii="Century Gothic" w:hAnsi="Century Gothic" w:cs="Arial"/>
                <w:sz w:val="16"/>
                <w:szCs w:val="16"/>
              </w:rPr>
              <w:t>stazy</w:t>
            </w:r>
            <w:proofErr w:type="spellEnd"/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żylnej – 1 pkt.,</w:t>
            </w:r>
          </w:p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brak </w:t>
            </w:r>
            <w:proofErr w:type="spellStart"/>
            <w:r w:rsidRPr="002A78AF">
              <w:rPr>
                <w:rFonts w:ascii="Century Gothic" w:hAnsi="Century Gothic" w:cs="Arial"/>
                <w:sz w:val="16"/>
                <w:szCs w:val="16"/>
              </w:rPr>
              <w:t>stazy</w:t>
            </w:r>
            <w:proofErr w:type="spellEnd"/>
            <w:r w:rsidRPr="002A78AF">
              <w:rPr>
                <w:rFonts w:ascii="Century Gothic" w:hAnsi="Century Gothic" w:cs="Arial"/>
                <w:sz w:val="16"/>
                <w:szCs w:val="16"/>
              </w:rPr>
              <w:t xml:space="preserve"> żylnej – 0 pkt.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Zakres odstępów czasowych automatycznych pomiarów przynajmniej w zakresie 1 [minuta] – 4 [godziny]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W komplecie do każdego monitora przewód i zestaw 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br/>
              <w:t xml:space="preserve">4 wielorazowych mankietów dla dorosłych: </w:t>
            </w:r>
          </w:p>
          <w:p w:rsidR="00A24EBB" w:rsidRPr="002A78AF" w:rsidRDefault="00A24EBB" w:rsidP="005742FC">
            <w:pPr>
              <w:pStyle w:val="Default"/>
              <w:numPr>
                <w:ilvl w:val="0"/>
                <w:numId w:val="6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1 x mały, </w:t>
            </w:r>
          </w:p>
          <w:p w:rsidR="00A24EBB" w:rsidRPr="002A78AF" w:rsidRDefault="00A24EBB" w:rsidP="005742FC">
            <w:pPr>
              <w:pStyle w:val="Default"/>
              <w:numPr>
                <w:ilvl w:val="0"/>
                <w:numId w:val="6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2 x standard, </w:t>
            </w:r>
          </w:p>
          <w:p w:rsidR="00A24EBB" w:rsidRPr="002A78AF" w:rsidRDefault="00A24EBB" w:rsidP="005742FC">
            <w:pPr>
              <w:pStyle w:val="Default"/>
              <w:numPr>
                <w:ilvl w:val="0"/>
                <w:numId w:val="6"/>
              </w:numPr>
              <w:spacing w:line="288" w:lineRule="auto"/>
              <w:ind w:left="0" w:firstLine="0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1 x duży.</w:t>
            </w:r>
          </w:p>
          <w:p w:rsidR="00A24EBB" w:rsidRPr="002A78AF" w:rsidRDefault="00A24EBB" w:rsidP="005742FC">
            <w:pPr>
              <w:pStyle w:val="Default"/>
              <w:spacing w:before="60"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color w:val="auto"/>
                <w:sz w:val="16"/>
                <w:szCs w:val="16"/>
              </w:rPr>
              <w:t>UWAGA:</w:t>
            </w: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mankiety pomiarowe wolne od lateksu.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Zakres pomiarowy [°C]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  <w:lang w:val="en-US"/>
              </w:rPr>
              <w:t xml:space="preserve"> </w:t>
            </w:r>
          </w:p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>min.: 0 – 45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 xml:space="preserve">Min. 2 tory pomiarowe temperatury – w komplecie do każdego monitora czujnik do pomiaru temperatury powierzchniowej i centralnej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Zakres pomiarowy ciśnienia minimum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min. </w:t>
            </w:r>
          </w:p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Arial"/>
                <w:color w:val="00000A"/>
                <w:sz w:val="16"/>
                <w:szCs w:val="16"/>
              </w:rPr>
              <w:t>od –40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br/>
              <w:t>do +3</w:t>
            </w:r>
            <w:r>
              <w:rPr>
                <w:rFonts w:ascii="Century Gothic" w:hAnsi="Century Gothic" w:cs="Arial"/>
                <w:color w:val="00000A"/>
                <w:sz w:val="16"/>
                <w:szCs w:val="16"/>
              </w:rPr>
              <w:t>0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>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Minimum 2 tory pomiarowe IBP z możliwością rozbudowy do 4 torów w kardiomonitorach na sale operacyjne i OIT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Minimum 1 tor pomiarowy IBP w kardiomonitorach na OIOK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Każdy monitor wyposażony w 1 kabel IBP na każdy zaoferowany kanał pomiarowy oraz zestaw 20 [szt.] przetworników jednorazowych do pomiaru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auto"/>
                <w:sz w:val="16"/>
                <w:szCs w:val="16"/>
              </w:rPr>
              <w:t xml:space="preserve">Ciągły pomiar rzutu minutowego serca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bCs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auto"/>
                <w:sz w:val="16"/>
                <w:szCs w:val="16"/>
              </w:rPr>
              <w:t xml:space="preserve">Ciągły pomiar rzutu minutowego serca metodą PICCO </w:t>
            </w:r>
          </w:p>
          <w:p w:rsidR="00A24EBB" w:rsidRPr="002A78AF" w:rsidRDefault="00A24EBB" w:rsidP="005742FC">
            <w:pPr>
              <w:pStyle w:val="Default"/>
              <w:spacing w:before="60"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skład mierzonych parametrów muszą wchodzić minimum następujące: Ciągły rzut serca, Systemowy opór naczyniowy, Objętość wyrzutowa/Indeks, Zmienność objętości wyrzutowej, Zmienność ciśnienia tętna, Objętość krwi w klatce piersiowej, Pozanaczyniowa woda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W zestawie dla każdego modułu przewody do podłączenia czujników jednorazowych oraz zestaw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stężenia wdechowo-wydechowego CO2 (kapnografii)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Pomiar stężenia wdechowo-wydechowego CO2 (kapnografii)</w:t>
            </w: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 xml:space="preserve"> </w:t>
            </w: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>– pomiar w strumieniu bocznym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lastRenderedPageBreak/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Zakres pomiarowy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33636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A"/>
                <w:sz w:val="16"/>
                <w:szCs w:val="16"/>
              </w:rPr>
              <w:t xml:space="preserve">min. </w:t>
            </w:r>
            <w:r w:rsidRPr="002A78AF">
              <w:rPr>
                <w:rFonts w:ascii="Century Gothic" w:hAnsi="Century Gothic" w:cs="Arial"/>
                <w:color w:val="00000A"/>
                <w:sz w:val="16"/>
                <w:szCs w:val="16"/>
              </w:rPr>
              <w:t>od 0 do 99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33636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Prezentacja cyfrowa pomiaru oraz prezentacja krzywej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kapnograficznej</w:t>
            </w:r>
            <w:proofErr w:type="spellEnd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33636E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3636E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auto"/>
                <w:sz w:val="16"/>
                <w:szCs w:val="16"/>
              </w:rPr>
              <w:t>Wykrywanie bezdechów z regulowanym czasem tolerancji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Moduł kompatybilny z monitorami zaoferowanymi na salę </w:t>
            </w:r>
            <w:proofErr w:type="spellStart"/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wybudzeń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 nie wymagający kalibracji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zestawie do każdego modułu min. 10 [szt.] akcesoriów jednorazowych do pomiaru u pacjentów zaintubowanych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entropii lub głębokości znieczulenia/sedacji metodą BIS/entropia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 xml:space="preserve">Pomiar entropii lub głębokości znieczulenia/sedacji metodą BIS/entropia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zestawie do każdego modułu wielorazowy kabel pomiarowy oraz min.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Pomiar zwiotczenia mięśniowego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bCs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bCs/>
                <w:color w:val="00000A"/>
                <w:sz w:val="16"/>
                <w:szCs w:val="16"/>
              </w:rPr>
              <w:t xml:space="preserve">Pomiar zwiotczenia mięśniowego NMT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89.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Pomiar metodą ST, TOF i PTC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24EBB" w:rsidTr="00BD363F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90.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EBB" w:rsidRPr="002A78AF" w:rsidRDefault="00A24EBB" w:rsidP="005742FC">
            <w:pPr>
              <w:pStyle w:val="Default"/>
              <w:spacing w:line="288" w:lineRule="auto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A78AF">
              <w:rPr>
                <w:rFonts w:ascii="Century Gothic" w:hAnsi="Century Gothic"/>
                <w:color w:val="00000A"/>
                <w:sz w:val="16"/>
                <w:szCs w:val="16"/>
              </w:rPr>
              <w:t>W zestawie do każdego modułu wielorazowy kabel pomiarowy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24EBB" w:rsidRPr="002A78AF" w:rsidRDefault="00A24EBB" w:rsidP="005742FC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24EBB" w:rsidRPr="002A78AF" w:rsidRDefault="00A24EBB" w:rsidP="005742FC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A78AF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A47C81" w:rsidRDefault="00A47C81" w:rsidP="00A47C81"/>
    <w:p w:rsidR="00386BDE" w:rsidRDefault="00386BDE"/>
    <w:p w:rsidR="004B05AF" w:rsidRDefault="004B05AF"/>
    <w:p w:rsidR="004B05AF" w:rsidRDefault="004B05AF"/>
    <w:p w:rsidR="004B05AF" w:rsidRDefault="004B05AF"/>
    <w:p w:rsidR="004B05AF" w:rsidRDefault="004B05AF"/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lastRenderedPageBreak/>
        <w:t xml:space="preserve">Warunki gwarancji i serwisu </w:t>
      </w:r>
    </w:p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304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2410"/>
      </w:tblGrid>
      <w:tr w:rsidR="00BD363F" w:rsidTr="00BD363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oferowany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na aparat </w:t>
            </w:r>
            <w:r w:rsidR="00E103CA">
              <w:rPr>
                <w:rFonts w:ascii="Century Gothic" w:hAnsi="Century Gothic" w:cstheme="minorHAnsi"/>
                <w:sz w:val="16"/>
                <w:szCs w:val="16"/>
              </w:rPr>
              <w:t>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&gt;= 12,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24 miesiące i więcej – 5 pkt.</w:t>
            </w:r>
          </w:p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BD363F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A335D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, w przypadku naprawy dłuższej niż 5 dni roboczych – aparat zastępczy o min. identycznych parametrach lub lepszy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BD363F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BD363F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Jako "podjęta naprawa" liczy się obecność uprawnionego 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 medycznego z zakresu obsługi urządzenia (8 osób) w momencie jego instalacji i odbioru;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 xml:space="preserve">itp. </w:t>
            </w:r>
            <w:r w:rsidR="00A335DB">
              <w:rPr>
                <w:rFonts w:ascii="Century Gothic" w:hAnsi="Century Gothic" w:cstheme="minorHAnsi"/>
                <w:sz w:val="16"/>
                <w:szCs w:val="16"/>
              </w:rPr>
              <w:t xml:space="preserve">również 8 osób,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>itp., również 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 xml:space="preserve">uwaga (1) - Należy przewidzieć szkolenia w wymiarze do 2 </w:t>
            </w: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BD363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781DC0" w:rsidRDefault="00781DC0"/>
    <w:sectPr w:rsidR="00781DC0" w:rsidSect="00A47C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FB" w:rsidRDefault="005837FB" w:rsidP="003B56B0">
      <w:r>
        <w:separator/>
      </w:r>
    </w:p>
  </w:endnote>
  <w:endnote w:type="continuationSeparator" w:id="0">
    <w:p w:rsidR="005837FB" w:rsidRDefault="005837FB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432370"/>
      <w:docPartObj>
        <w:docPartGallery w:val="Page Numbers (Bottom of Page)"/>
        <w:docPartUnique/>
      </w:docPartObj>
    </w:sdtPr>
    <w:sdtEndPr/>
    <w:sdtContent>
      <w:p w:rsidR="003B56B0" w:rsidRDefault="003B56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77" w:rsidRPr="00F91477">
          <w:rPr>
            <w:noProof/>
            <w:lang w:val="pl-PL"/>
          </w:rPr>
          <w:t>1</w:t>
        </w:r>
        <w:r>
          <w:fldChar w:fldCharType="end"/>
        </w:r>
      </w:p>
    </w:sdtContent>
  </w:sdt>
  <w:p w:rsidR="005E56A9" w:rsidRPr="005E56A9" w:rsidRDefault="005E56A9" w:rsidP="005E56A9">
    <w:pPr>
      <w:pStyle w:val="Stopka"/>
      <w:jc w:val="right"/>
    </w:pPr>
    <w:r w:rsidRPr="005E56A9">
      <w:rPr>
        <w:i/>
        <w:iCs/>
      </w:rPr>
      <w:t>podpis i pieczęć osoby (osób) upoważnionej do reprezentowania Wykonawcy</w:t>
    </w:r>
  </w:p>
  <w:p w:rsidR="003B56B0" w:rsidRDefault="003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FB" w:rsidRDefault="005837FB" w:rsidP="003B56B0">
      <w:r>
        <w:separator/>
      </w:r>
    </w:p>
  </w:footnote>
  <w:footnote w:type="continuationSeparator" w:id="0">
    <w:p w:rsidR="005837FB" w:rsidRDefault="005837FB" w:rsidP="003B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6A9" w:rsidRPr="005E56A9" w:rsidRDefault="005E56A9" w:rsidP="005E56A9">
    <w:pPr>
      <w:widowControl/>
      <w:tabs>
        <w:tab w:val="center" w:pos="4536"/>
        <w:tab w:val="left" w:pos="8762"/>
        <w:tab w:val="right" w:pos="14580"/>
      </w:tabs>
      <w:suppressAutoHyphens w:val="0"/>
      <w:rPr>
        <w:rFonts w:ascii="Garamond" w:eastAsia="Times New Roman" w:hAnsi="Garamond"/>
        <w:kern w:val="0"/>
        <w:sz w:val="22"/>
        <w:szCs w:val="22"/>
      </w:rPr>
    </w:pPr>
    <w:r w:rsidRPr="005E56A9">
      <w:rPr>
        <w:rFonts w:ascii="Garamond" w:eastAsia="Times New Roman" w:hAnsi="Garamond"/>
        <w:kern w:val="0"/>
        <w:sz w:val="22"/>
        <w:szCs w:val="22"/>
      </w:rPr>
      <w:t>DFZP-BZ-</w:t>
    </w:r>
    <w:r>
      <w:rPr>
        <w:rFonts w:ascii="Garamond" w:eastAsia="Times New Roman" w:hAnsi="Garamond"/>
        <w:kern w:val="0"/>
        <w:sz w:val="22"/>
        <w:szCs w:val="22"/>
      </w:rPr>
      <w:t>271-215</w:t>
    </w:r>
    <w:r w:rsidRPr="005E56A9">
      <w:rPr>
        <w:rFonts w:ascii="Garamond" w:eastAsia="Times New Roman" w:hAnsi="Garamond"/>
        <w:kern w:val="0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5E56A9" w:rsidRPr="005E56A9" w:rsidRDefault="005E56A9" w:rsidP="005E56A9">
    <w:pPr>
      <w:widowControl/>
      <w:tabs>
        <w:tab w:val="center" w:pos="4536"/>
        <w:tab w:val="right" w:pos="9072"/>
      </w:tabs>
      <w:suppressAutoHyphens w:val="0"/>
      <w:rPr>
        <w:rFonts w:ascii="Garamond" w:eastAsia="Calibri" w:hAnsi="Garamond"/>
        <w:kern w:val="0"/>
        <w:sz w:val="22"/>
        <w:szCs w:val="22"/>
      </w:rPr>
    </w:pP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Calibri" w:eastAsia="Calibri" w:hAnsi="Calibri"/>
        <w:kern w:val="0"/>
        <w:sz w:val="22"/>
        <w:szCs w:val="22"/>
      </w:rPr>
      <w:tab/>
    </w:r>
    <w:r w:rsidRPr="005E56A9">
      <w:rPr>
        <w:rFonts w:ascii="Garamond" w:eastAsia="Calibri" w:hAnsi="Garamond"/>
        <w:kern w:val="0"/>
        <w:sz w:val="22"/>
        <w:szCs w:val="22"/>
      </w:rPr>
      <w:tab/>
    </w:r>
    <w:r w:rsidRPr="005E56A9">
      <w:rPr>
        <w:rFonts w:ascii="Garamond" w:eastAsia="Calibri" w:hAnsi="Garamond"/>
        <w:kern w:val="0"/>
        <w:sz w:val="22"/>
        <w:szCs w:val="22"/>
      </w:rPr>
      <w:tab/>
      <w:t>Załącznik nr …… do umowy</w:t>
    </w:r>
  </w:p>
  <w:p w:rsidR="005E56A9" w:rsidRDefault="005E56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B"/>
    <w:rsid w:val="00022303"/>
    <w:rsid w:val="000566CA"/>
    <w:rsid w:val="0013711A"/>
    <w:rsid w:val="0020470F"/>
    <w:rsid w:val="0033181A"/>
    <w:rsid w:val="003848FE"/>
    <w:rsid w:val="00386BDE"/>
    <w:rsid w:val="003B56B0"/>
    <w:rsid w:val="004608DE"/>
    <w:rsid w:val="004B05AF"/>
    <w:rsid w:val="005428E2"/>
    <w:rsid w:val="005837FB"/>
    <w:rsid w:val="005E56A9"/>
    <w:rsid w:val="006237CD"/>
    <w:rsid w:val="0063656F"/>
    <w:rsid w:val="00760A0D"/>
    <w:rsid w:val="00781DC0"/>
    <w:rsid w:val="0078446B"/>
    <w:rsid w:val="007E60F0"/>
    <w:rsid w:val="0081526C"/>
    <w:rsid w:val="008570A5"/>
    <w:rsid w:val="00935E93"/>
    <w:rsid w:val="0095241F"/>
    <w:rsid w:val="009F4FFA"/>
    <w:rsid w:val="00A24EBB"/>
    <w:rsid w:val="00A335DB"/>
    <w:rsid w:val="00A47C81"/>
    <w:rsid w:val="00AB3627"/>
    <w:rsid w:val="00AC1F94"/>
    <w:rsid w:val="00BA6F0E"/>
    <w:rsid w:val="00BD363F"/>
    <w:rsid w:val="00BF1AC2"/>
    <w:rsid w:val="00CC615B"/>
    <w:rsid w:val="00D00F44"/>
    <w:rsid w:val="00E103CA"/>
    <w:rsid w:val="00EE554B"/>
    <w:rsid w:val="00F546EB"/>
    <w:rsid w:val="00F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66A4-19B4-4E16-84A2-7BF1F513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3431</Words>
  <Characters>20592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2</cp:revision>
  <cp:lastPrinted>2017-10-24T11:27:00Z</cp:lastPrinted>
  <dcterms:created xsi:type="dcterms:W3CDTF">2017-11-07T13:40:00Z</dcterms:created>
  <dcterms:modified xsi:type="dcterms:W3CDTF">2017-11-07T13:40:00Z</dcterms:modified>
</cp:coreProperties>
</file>