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06" w:rsidRDefault="008A7106" w:rsidP="00431206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431206" w:rsidRDefault="00431206" w:rsidP="00431206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Mikroskop Operacyjny</w:t>
      </w:r>
    </w:p>
    <w:p w:rsidR="00431206" w:rsidRDefault="00431206" w:rsidP="008A7106">
      <w:pPr>
        <w:pStyle w:val="Standard"/>
        <w:tabs>
          <w:tab w:val="center" w:pos="7002"/>
        </w:tabs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  <w:r w:rsidR="008A7106">
        <w:rPr>
          <w:rFonts w:ascii="Century Gothic" w:hAnsi="Century Gothic"/>
          <w:sz w:val="18"/>
          <w:szCs w:val="18"/>
        </w:rPr>
        <w:tab/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8A4119" w:rsidRDefault="008A4119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84712" w:rsidRPr="00431206" w:rsidRDefault="00984712" w:rsidP="00984712">
      <w:pPr>
        <w:spacing w:line="360" w:lineRule="auto"/>
        <w:rPr>
          <w:rFonts w:ascii="Century Gothic" w:hAnsi="Century Gothic"/>
          <w:b/>
          <w:bCs/>
          <w:sz w:val="20"/>
          <w:szCs w:val="20"/>
        </w:rPr>
      </w:pPr>
      <w:r w:rsidRPr="00431206">
        <w:rPr>
          <w:rFonts w:ascii="Century Gothic" w:hAnsi="Century Gothic"/>
          <w:b/>
          <w:bCs/>
          <w:sz w:val="20"/>
          <w:szCs w:val="20"/>
        </w:rPr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716F0E" w:rsidTr="008028E8">
        <w:tc>
          <w:tcPr>
            <w:tcW w:w="709" w:type="dxa"/>
            <w:vAlign w:val="center"/>
          </w:tcPr>
          <w:p w:rsidR="008028E8" w:rsidRPr="00716F0E" w:rsidRDefault="008028E8" w:rsidP="00B5731F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28E8" w:rsidRPr="00716F0E" w:rsidRDefault="008028E8" w:rsidP="00106FA1">
            <w:pPr>
              <w:pStyle w:val="Zawartotabeli"/>
              <w:snapToGrid w:val="0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OCENA PKT.</w:t>
            </w:r>
          </w:p>
        </w:tc>
      </w:tr>
      <w:tr w:rsidR="008028E8" w:rsidRPr="00EC6DB9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Mikroskop operacyjny wysokiej klasy, dedykowany do zastosowań m. in. zaawansowanych procedurach neurochirurgicznych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EC6DB9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Statyw podłogowy – jezdny, z blokadą do unieruchomienia układu jezdnego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Powierzchnia mikroskopu łatwa do dezynfekcji 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br/>
              <w:t>i utrzymania w czystości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Precyzyjny system zawieszania i wyważania mikroskopu (6 stopni swobody)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Regulacja ramion mikroskopu – elektromagnetyczna lub mechaniczna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F65B8E" w:rsidRDefault="00A37445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5B8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F65B8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W pełni elektromagnetyczna – 2 pkt.</w:t>
            </w:r>
            <w:r w:rsidR="00A37445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Obrót statywu względem podstawy jezdnej min. 340[º]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2F1" w:rsidRPr="00A02531" w:rsidRDefault="002D52F1" w:rsidP="005B49CB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02531">
              <w:rPr>
                <w:rFonts w:ascii="Century Gothic" w:hAnsi="Century Gothic" w:cs="Arial"/>
                <w:sz w:val="20"/>
                <w:szCs w:val="20"/>
              </w:rPr>
              <w:t xml:space="preserve">System przesuwu głowicy XY w 3 osiach - sterowanie z rękojeści </w:t>
            </w:r>
            <w:bookmarkStart w:id="0" w:name="_GoBack"/>
            <w:bookmarkEnd w:id="0"/>
            <w:r w:rsidRPr="00A02531">
              <w:rPr>
                <w:rFonts w:ascii="Century Gothic" w:hAnsi="Century Gothic" w:cs="Arial"/>
                <w:sz w:val="20"/>
                <w:szCs w:val="20"/>
              </w:rPr>
              <w:t>niezależnie od sprzęgieł elektromagnetycznych</w:t>
            </w:r>
          </w:p>
          <w:p w:rsidR="002D52F1" w:rsidRPr="00A02531" w:rsidRDefault="002D52F1" w:rsidP="005B49CB">
            <w:pPr>
              <w:spacing w:after="0" w:line="24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A02531">
              <w:rPr>
                <w:rFonts w:ascii="Century Gothic" w:hAnsi="Century Gothic" w:cs="Arial"/>
                <w:color w:val="FF0000"/>
                <w:sz w:val="20"/>
                <w:szCs w:val="20"/>
              </w:rPr>
              <w:t>lub:</w:t>
            </w:r>
          </w:p>
          <w:p w:rsidR="008028E8" w:rsidRPr="00716F0E" w:rsidRDefault="002D52F1" w:rsidP="005B49CB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0253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system przesuwu głowicy mikroskopu w 3 osiach (XYZ) po </w:t>
            </w:r>
            <w:r w:rsidRPr="00A02531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zwolnieniu sprzęgieł elektromagnetycznych , z systemem przesuwu głowicy w 2 osiach (XY), sterowanym z rękojeści niezależnie od sprzęgieł elektromagnetycznych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automatycznego balansowania mikroskopu i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ręcznego zbalansowania mikroskopu w przypadku awarii funkcji automatycznej.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 w:rsidR="00A37445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Oświetlenie prowadzone światłowodem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Główne źródło światła - ksenonowe moc min. 300[W]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c>
          <w:tcPr>
            <w:tcW w:w="709" w:type="dxa"/>
            <w:tcBorders>
              <w:bottom w:val="single" w:sz="4" w:space="0" w:color="auto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Zapasowe źródło światła - ksenonowe moc min. 300[W]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Wskaźnik zużycia lampy wyrażony w roboczogodzinach/godzinach pracy [h]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automatycznej regulacji natężenia światła w zależności od dystansu ogniskowania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automatycznej regulacji natężenia światła w zależności od wielkości (średnicy) oświetlanego pola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Bezcieniowe pole widzenia przy pracy w wąskich kanałach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zawężania oświetlanego pola operacyjnego do pracy w kanałach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Prowadzenie światłowodów oraz przewodów toru wizyjnego w ramionach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Ogniskowa obiektywu min. 230-450[mm]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  <w:r w:rsidR="00106FA1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r w:rsidR="00106FA1" w:rsidRPr="00F65B8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BE7B7B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0070C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Zakres wymagany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Płynne sterowane (z możliwością zmiany szybkości działania), elektromotoryczne powiększenie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- w zakresie min. 1:6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Płynna, elektromotoryczna regulacja ostrości (fokus)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- z możliwością zmiany szybkości działania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Funkcja zależności prędkości działania od stopnia powiększenia (duże powiększenie - mniejsza prędkość fokus, małe powiększenie – wyższa prędkość fokus)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Manualna regulacja funkcji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focus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oraz zoom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 sytuacjach awaryjnych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Sterowanie funkcjami fokus i zoom poprzez przełączniki umieszczone na bocznych uchwytach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Zwalnianie hamulców poprzez przełączniki umieszczone na bocznych uchwytach 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Sprzęgła elektromotoryczne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4A4815" w:rsidRDefault="008028E8" w:rsidP="008028E8">
            <w:pPr>
              <w:pStyle w:val="Akapitzlist"/>
              <w:numPr>
                <w:ilvl w:val="0"/>
                <w:numId w:val="43"/>
              </w:numPr>
              <w:spacing w:after="60"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4A4815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A4815">
              <w:rPr>
                <w:rFonts w:ascii="Century Gothic" w:hAnsi="Century Gothic" w:cs="Arial"/>
                <w:sz w:val="20"/>
                <w:szCs w:val="20"/>
              </w:rPr>
              <w:t xml:space="preserve">Możliwość selektywnego uruchamiania sprzęgieł statywu i mikroskopu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Przyłączanie wyposażenia dodatkowego (podgląd asystencki, nasadka okularowa do pracy face to face, foto, video) – za pomocą rozdzielacza optycznego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Łatwa i szybka zmiana strony podglądu asystenckiego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Podgląd asystencki stereoskopowy na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Podgląd asystencki – regulacja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tubusa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w min. dwóch płaszczyznach z okularami o powiększeniu min. 12x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pochylania samej nasadki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C857BD" w:rsidRDefault="005B49CB" w:rsidP="005B49CB">
            <w:pPr>
              <w:spacing w:after="0" w:line="288" w:lineRule="auto"/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</w:pPr>
            <w:r w:rsidRPr="00C857BD">
              <w:rPr>
                <w:rFonts w:ascii="Century Gothic" w:hAnsi="Century Gothic" w:cs="Arial"/>
                <w:sz w:val="20"/>
                <w:szCs w:val="20"/>
              </w:rPr>
              <w:t xml:space="preserve">Ruchy głowicy w kierunku góra-dół bez zmiany pozycji bocznego podglądu asystenckiego </w:t>
            </w:r>
            <w:r w:rsidRPr="00C857BD"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  <w:t>lub:</w:t>
            </w:r>
          </w:p>
          <w:p w:rsidR="005B49CB" w:rsidRPr="00C857BD" w:rsidRDefault="005B49CB" w:rsidP="005B49CB">
            <w:pPr>
              <w:spacing w:after="0"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857BD"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  <w:t>dodatkowo pochylana nasadka bocznego podglądu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Nasadka okularowa operatora pochylna w zakresie ruchu góra-dół min. 115[º]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5B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 xml:space="preserve">Nasadka okularowa z okularami o powiększeniu </w:t>
            </w: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br/>
              <w:t>min 10x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Nasadka okularowa drugiego operatora „face to „face” – pochylna w zakresie ruchu góra-dół zakres przechyłu: min. 115 [º], powiększenie okularów: min. 10x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spacing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TAK </w:t>
            </w:r>
          </w:p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indywidualnych ustawień n/w parametrów: zoom, fokus, natężenie oświetlenia, konfiguracja przycisków rękojeści – min. 5 operatorów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Współpraca z systemami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(zainstalowany dwukierunkowy interfejs do pracy 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 systemami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>System nastrzykiwania obrazu do okularów operatora o rozdzielczości wynoszącej równe 1024 × 768 pikseli lub wyższej.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System doprowadzający do operatora informacje o parametrach pracy mikroskopu oraz informacji z urządzeń peryferyjnych. 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Dopuszcza się następujące  rozwiązania:</w:t>
            </w:r>
          </w:p>
          <w:p w:rsidR="005B49CB" w:rsidRPr="00716F0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zintegrowany tzw.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head-up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display (rozdzielczość min. SVGA 800x600) pozwalający na naprzemienne wprowadzanie w oba okulary informacji o parametrach 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lastRenderedPageBreak/>
              <w:t>pracy mikroskopu oraz obrazów pochodzących z urządzeń peryferyjnych,</w:t>
            </w:r>
          </w:p>
          <w:p w:rsidR="005B49CB" w:rsidRPr="00716F0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monitor dotykowy (z rozdzielczością min. 1024x 768 [pikseli] i przekątną min. 6 [cali]) umieszczony nad okularami operatora, umożliwiający pracę pod folia operacyjną,</w:t>
            </w:r>
          </w:p>
          <w:p w:rsidR="005B49CB" w:rsidRPr="00716F0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7" w:hanging="227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naprzemiennego wprowadzania w oba okulary obrazów pochodzących z urządzeń peryferyjnych oraz wyświetlania parametrów pracy (co najmniej powiększenie i dystans roboczy) na głowicy mikroskopu po stronie operatora.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 xml:space="preserve">Systemy powinny zapewniać co najmniej wprowadzanie obrazów z systemu IGS, sygnału video np. z endoskopu, </w:t>
            </w:r>
            <w:proofErr w:type="spellStart"/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>neuromonitoringu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Kolorowa kamera video Full HD, w technologii 3CCD lub CMOS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Zintegrowany system zapisu obrazów i sekwencji video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Zapis obrazów i sekwencji video –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full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HD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zarządzania danymi pacjenta – w tym przechowywanie plików pacjenta z obrazami lub sekwencjami video (np. z urządzeń diagnostycznych) bezpośrednio w pamięci operacyjnej mikroskopu z możliwością ich szybkiego podglądu na monitorze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Kolorowy monitor, klasy LCD, zintegrowany 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 mikroskopem – przekątna min. 19 [‘]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regulacji ostrości na ekranie monitora niezależnie od ostrości w okularach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Monitor umieszczony na regulowanym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Wizualizacja kontrastu ICG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8D75E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Pomiar przepływów naczyniowych w zabiegach naczyniowych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pStyle w:val="Tekstpodstawowy"/>
              <w:spacing w:after="0" w:line="288" w:lineRule="auto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  <w:lang w:eastAsia="en-US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Wizualizacja kontrastu z wykorzystaniem 5-ALA 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 zabiegach usunięcia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glajaków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8D75E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System odsysania powietrza z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obłożeń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operacyjnych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716F0E">
            <w:pPr>
              <w:pStyle w:val="Tekstpodstawowy"/>
              <w:spacing w:after="0" w:line="288" w:lineRule="auto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  <w:lang w:eastAsia="en-US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Nie – 0 pkt.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Pedał nożny do sterowania funkcjami mikroskopu takimi jak: zoom, fokus, regulacja natężenia światła, XY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B49CB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8028E8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 cenie oferty – obłożenia operacyjne</w:t>
            </w:r>
          </w:p>
          <w:p w:rsidR="005B49CB" w:rsidRPr="00716F0E" w:rsidRDefault="005B49CB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 xml:space="preserve">należy dostarczyć min 40 [szt.] </w:t>
            </w:r>
            <w:proofErr w:type="spellStart"/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>obłożeń</w:t>
            </w:r>
            <w:proofErr w:type="spellEnd"/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 xml:space="preserve"> operacyjnych do każdego mikroskopu.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716F0E" w:rsidRDefault="005B49CB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716F0E" w:rsidRDefault="005B49CB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D73EB9" w:rsidRDefault="00D73EB9" w:rsidP="00C2669F">
      <w:pPr>
        <w:spacing w:line="288" w:lineRule="auto"/>
        <w:rPr>
          <w:rFonts w:ascii="Century Gothic" w:hAnsi="Century Gothic"/>
        </w:rPr>
      </w:pPr>
    </w:p>
    <w:p w:rsidR="008A4119" w:rsidRDefault="008A4119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4B5E68" w:rsidRDefault="00912D05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912D05" w:rsidRDefault="00912D05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 w:rsidP="004B5E68">
            <w:pPr>
              <w:pStyle w:val="Nagwek3"/>
              <w:widowControl/>
              <w:numPr>
                <w:ilvl w:val="2"/>
                <w:numId w:val="40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4B5E68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2D52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C857B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24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2D52F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C857BD">
              <w:rPr>
                <w:rFonts w:ascii="Century Gothic" w:eastAsia="Calibri" w:hAnsi="Century Gothic"/>
                <w:strike/>
                <w:color w:val="FF0000"/>
                <w:sz w:val="20"/>
                <w:szCs w:val="20"/>
              </w:rPr>
              <w:t>3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C857BD">
              <w:rPr>
                <w:rFonts w:ascii="Century Gothic" w:eastAsia="Calibri" w:hAnsi="Century Gothic"/>
                <w:strike/>
                <w:color w:val="FF0000"/>
                <w:sz w:val="20"/>
                <w:szCs w:val="20"/>
              </w:rPr>
              <w:t>7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10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912D05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12D05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</w:t>
            </w:r>
            <w:r w:rsidR="008A411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by, w innym terminie ustalonym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kierownikiem pracowni,</w:t>
            </w:r>
          </w:p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4119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D73EB9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B3" w:rsidRDefault="005019B3" w:rsidP="002B10C5">
      <w:pPr>
        <w:spacing w:after="0" w:line="240" w:lineRule="auto"/>
      </w:pPr>
      <w:r>
        <w:separator/>
      </w:r>
    </w:p>
  </w:endnote>
  <w:endnote w:type="continuationSeparator" w:id="0">
    <w:p w:rsidR="005019B3" w:rsidRDefault="005019B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9CB">
          <w:rPr>
            <w:noProof/>
          </w:rPr>
          <w:t>2</w:t>
        </w:r>
        <w:r>
          <w:fldChar w:fldCharType="end"/>
        </w:r>
      </w:p>
    </w:sdtContent>
  </w:sdt>
  <w:p w:rsidR="000A70CE" w:rsidRPr="000A70CE" w:rsidRDefault="000A70CE" w:rsidP="000A70CE">
    <w:pPr>
      <w:widowControl w:val="0"/>
      <w:tabs>
        <w:tab w:val="left" w:pos="9214"/>
        <w:tab w:val="left" w:pos="9639"/>
      </w:tabs>
      <w:suppressAutoHyphens/>
      <w:autoSpaceDE w:val="0"/>
      <w:spacing w:after="0" w:line="240" w:lineRule="auto"/>
      <w:ind w:left="4140" w:hanging="1163"/>
      <w:jc w:val="center"/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  <w:t xml:space="preserve">                                                    </w:t>
    </w:r>
    <w:r w:rsidRPr="000A70CE"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  <w:t>..................................................................................................................................</w:t>
    </w:r>
  </w:p>
  <w:p w:rsidR="000A70CE" w:rsidRPr="000A70CE" w:rsidRDefault="000A70CE" w:rsidP="000A70CE">
    <w:pPr>
      <w:tabs>
        <w:tab w:val="left" w:pos="9214"/>
        <w:tab w:val="left" w:pos="9639"/>
      </w:tabs>
      <w:spacing w:after="0" w:line="240" w:lineRule="auto"/>
      <w:ind w:left="3686"/>
      <w:jc w:val="center"/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</w:pPr>
    <w:r w:rsidRPr="000A70CE">
      <w:rPr>
        <w:rFonts w:ascii="Times New Roman" w:eastAsia="Times New Roman" w:hAnsi="Times New Roman" w:cs="Times New Roman"/>
        <w:i/>
        <w:iCs/>
        <w:sz w:val="18"/>
        <w:szCs w:val="18"/>
        <w:lang w:eastAsia="pl-PL"/>
      </w:rPr>
      <w:t xml:space="preserve">                                                    podpis i pieczęć osoby (osób) upoważnionej do reprezentowania Wykonawcy</w:t>
    </w:r>
  </w:p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B3" w:rsidRDefault="005019B3" w:rsidP="002B10C5">
      <w:pPr>
        <w:spacing w:after="0" w:line="240" w:lineRule="auto"/>
      </w:pPr>
      <w:r>
        <w:separator/>
      </w:r>
    </w:p>
  </w:footnote>
  <w:footnote w:type="continuationSeparator" w:id="0">
    <w:p w:rsidR="005019B3" w:rsidRDefault="005019B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119" w:rsidRDefault="008A4119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3E1DABD4" wp14:editId="1355C13B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A70CE" w:rsidRPr="000A70CE" w:rsidRDefault="008A4119" w:rsidP="008A4119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 w:rsidR="000A70CE" w:rsidRPr="000A70CE">
      <w:rPr>
        <w:sz w:val="18"/>
        <w:szCs w:val="18"/>
      </w:rPr>
      <w:t>Załącznik nr 1a do specyfikacji</w:t>
    </w:r>
  </w:p>
  <w:p w:rsidR="000A70CE" w:rsidRPr="000A70CE" w:rsidRDefault="000A70CE" w:rsidP="000A70CE">
    <w:pPr>
      <w:pStyle w:val="Nagwek"/>
      <w:rPr>
        <w:sz w:val="18"/>
        <w:szCs w:val="18"/>
      </w:rPr>
    </w:pPr>
    <w:r>
      <w:rPr>
        <w:sz w:val="18"/>
        <w:szCs w:val="18"/>
      </w:rPr>
      <w:t xml:space="preserve">    NSSU.DFP.271.3.2018.BZ                                                                                                                                                                                       </w:t>
    </w:r>
    <w:r w:rsidRPr="000A70CE">
      <w:rPr>
        <w:sz w:val="18"/>
        <w:szCs w:val="18"/>
      </w:rPr>
      <w:t>Załącznik nr…..…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9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7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1"/>
  </w:num>
  <w:num w:numId="6">
    <w:abstractNumId w:val="25"/>
  </w:num>
  <w:num w:numId="7">
    <w:abstractNumId w:val="10"/>
  </w:num>
  <w:num w:numId="8">
    <w:abstractNumId w:val="9"/>
  </w:num>
  <w:num w:numId="9">
    <w:abstractNumId w:val="20"/>
  </w:num>
  <w:num w:numId="10">
    <w:abstractNumId w:val="13"/>
  </w:num>
  <w:num w:numId="11">
    <w:abstractNumId w:val="33"/>
  </w:num>
  <w:num w:numId="12">
    <w:abstractNumId w:val="14"/>
  </w:num>
  <w:num w:numId="13">
    <w:abstractNumId w:val="28"/>
  </w:num>
  <w:num w:numId="14">
    <w:abstractNumId w:val="36"/>
  </w:num>
  <w:num w:numId="15">
    <w:abstractNumId w:val="29"/>
  </w:num>
  <w:num w:numId="16">
    <w:abstractNumId w:val="35"/>
  </w:num>
  <w:num w:numId="17">
    <w:abstractNumId w:val="6"/>
  </w:num>
  <w:num w:numId="18">
    <w:abstractNumId w:val="0"/>
  </w:num>
  <w:num w:numId="19">
    <w:abstractNumId w:val="31"/>
  </w:num>
  <w:num w:numId="20">
    <w:abstractNumId w:val="15"/>
  </w:num>
  <w:num w:numId="21">
    <w:abstractNumId w:val="22"/>
  </w:num>
  <w:num w:numId="22">
    <w:abstractNumId w:val="27"/>
  </w:num>
  <w:num w:numId="23">
    <w:abstractNumId w:val="39"/>
  </w:num>
  <w:num w:numId="24">
    <w:abstractNumId w:val="11"/>
  </w:num>
  <w:num w:numId="25">
    <w:abstractNumId w:val="19"/>
  </w:num>
  <w:num w:numId="26">
    <w:abstractNumId w:val="16"/>
  </w:num>
  <w:num w:numId="27">
    <w:abstractNumId w:val="17"/>
  </w:num>
  <w:num w:numId="28">
    <w:abstractNumId w:val="41"/>
  </w:num>
  <w:num w:numId="29">
    <w:abstractNumId w:val="7"/>
  </w:num>
  <w:num w:numId="30">
    <w:abstractNumId w:val="34"/>
  </w:num>
  <w:num w:numId="31">
    <w:abstractNumId w:val="30"/>
  </w:num>
  <w:num w:numId="32">
    <w:abstractNumId w:val="37"/>
  </w:num>
  <w:num w:numId="33">
    <w:abstractNumId w:val="40"/>
  </w:num>
  <w:num w:numId="34">
    <w:abstractNumId w:val="32"/>
  </w:num>
  <w:num w:numId="35">
    <w:abstractNumId w:val="12"/>
  </w:num>
  <w:num w:numId="36">
    <w:abstractNumId w:val="5"/>
  </w:num>
  <w:num w:numId="37">
    <w:abstractNumId w:val="38"/>
  </w:num>
  <w:num w:numId="38">
    <w:abstractNumId w:val="4"/>
  </w:num>
  <w:num w:numId="39">
    <w:abstractNumId w:val="2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18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82567"/>
    <w:rsid w:val="000872C6"/>
    <w:rsid w:val="000A01C5"/>
    <w:rsid w:val="000A42E2"/>
    <w:rsid w:val="000A70CE"/>
    <w:rsid w:val="00106FA1"/>
    <w:rsid w:val="00140F74"/>
    <w:rsid w:val="00153000"/>
    <w:rsid w:val="00195D24"/>
    <w:rsid w:val="00226290"/>
    <w:rsid w:val="00226C7E"/>
    <w:rsid w:val="002B10C5"/>
    <w:rsid w:val="002B7EF9"/>
    <w:rsid w:val="002D52F1"/>
    <w:rsid w:val="002E7641"/>
    <w:rsid w:val="0031723C"/>
    <w:rsid w:val="0035006A"/>
    <w:rsid w:val="003502EB"/>
    <w:rsid w:val="003816D4"/>
    <w:rsid w:val="00386BDE"/>
    <w:rsid w:val="00420195"/>
    <w:rsid w:val="00430D65"/>
    <w:rsid w:val="00431206"/>
    <w:rsid w:val="004537A6"/>
    <w:rsid w:val="004A3639"/>
    <w:rsid w:val="004A4815"/>
    <w:rsid w:val="004B5E68"/>
    <w:rsid w:val="005019B3"/>
    <w:rsid w:val="00505CFB"/>
    <w:rsid w:val="0055762C"/>
    <w:rsid w:val="00595A76"/>
    <w:rsid w:val="005B49CB"/>
    <w:rsid w:val="00617EC5"/>
    <w:rsid w:val="006309BF"/>
    <w:rsid w:val="00716F0E"/>
    <w:rsid w:val="007475D7"/>
    <w:rsid w:val="007B4693"/>
    <w:rsid w:val="007D2398"/>
    <w:rsid w:val="008028E8"/>
    <w:rsid w:val="00806F74"/>
    <w:rsid w:val="008146EE"/>
    <w:rsid w:val="00852D15"/>
    <w:rsid w:val="00877102"/>
    <w:rsid w:val="008A4119"/>
    <w:rsid w:val="008A7106"/>
    <w:rsid w:val="008E4B96"/>
    <w:rsid w:val="00912D05"/>
    <w:rsid w:val="009319E1"/>
    <w:rsid w:val="0093379E"/>
    <w:rsid w:val="00984712"/>
    <w:rsid w:val="009B0ED9"/>
    <w:rsid w:val="00A37445"/>
    <w:rsid w:val="00A8133F"/>
    <w:rsid w:val="00AF7709"/>
    <w:rsid w:val="00B009C9"/>
    <w:rsid w:val="00B33D13"/>
    <w:rsid w:val="00B61A26"/>
    <w:rsid w:val="00B72884"/>
    <w:rsid w:val="00B935A3"/>
    <w:rsid w:val="00B95922"/>
    <w:rsid w:val="00BD6659"/>
    <w:rsid w:val="00BE7B7B"/>
    <w:rsid w:val="00C10E44"/>
    <w:rsid w:val="00C2669F"/>
    <w:rsid w:val="00C62F9D"/>
    <w:rsid w:val="00C64C0B"/>
    <w:rsid w:val="00C75220"/>
    <w:rsid w:val="00D73EB9"/>
    <w:rsid w:val="00D93C7F"/>
    <w:rsid w:val="00DA12A3"/>
    <w:rsid w:val="00DA1FA2"/>
    <w:rsid w:val="00DC7F16"/>
    <w:rsid w:val="00E2786E"/>
    <w:rsid w:val="00E50DAF"/>
    <w:rsid w:val="00E50E99"/>
    <w:rsid w:val="00EA6DEC"/>
    <w:rsid w:val="00EC6DB9"/>
    <w:rsid w:val="00EC7C3F"/>
    <w:rsid w:val="00EF3E66"/>
    <w:rsid w:val="00F34EF1"/>
    <w:rsid w:val="00F65B8E"/>
    <w:rsid w:val="00FA2BC1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48A4-8A19-4758-8394-DA874CC2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1981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4</cp:revision>
  <cp:lastPrinted>2018-01-24T09:28:00Z</cp:lastPrinted>
  <dcterms:created xsi:type="dcterms:W3CDTF">2018-02-27T08:59:00Z</dcterms:created>
  <dcterms:modified xsi:type="dcterms:W3CDTF">2018-02-27T09:04:00Z</dcterms:modified>
</cp:coreProperties>
</file>