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B3C" w:rsidRDefault="003C5B3C" w:rsidP="003C5B3C">
      <w:pPr>
        <w:pStyle w:val="Tytu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OPIS PRZEDMIOTU ZAMÓWIENIA</w:t>
      </w:r>
    </w:p>
    <w:p w:rsidR="003C5B3C" w:rsidRDefault="003C5B3C" w:rsidP="003C5B3C">
      <w:pPr>
        <w:pStyle w:val="Standard"/>
        <w:rPr>
          <w:rFonts w:ascii="Century Gothic" w:hAnsi="Century Gothic"/>
          <w:b/>
          <w:sz w:val="20"/>
          <w:szCs w:val="20"/>
        </w:rPr>
      </w:pPr>
    </w:p>
    <w:p w:rsidR="003C5B3C" w:rsidRPr="006F067E" w:rsidRDefault="00410525" w:rsidP="003C5B3C">
      <w:pPr>
        <w:spacing w:before="100" w:beforeAutospacing="1" w:after="100" w:afterAutospacing="1" w:line="288" w:lineRule="auto"/>
        <w:jc w:val="center"/>
        <w:rPr>
          <w:rFonts w:ascii="Century Gothic" w:hAnsi="Century Gothic"/>
          <w:b/>
          <w:u w:val="single"/>
        </w:rPr>
      </w:pPr>
      <w:r w:rsidRPr="006F067E">
        <w:rPr>
          <w:rFonts w:ascii="Century Gothic" w:hAnsi="Century Gothic"/>
          <w:b/>
          <w:u w:val="single"/>
        </w:rPr>
        <w:t>Aparat do radioterapii śródoperacyjnej</w:t>
      </w:r>
    </w:p>
    <w:p w:rsidR="003C5B3C" w:rsidRDefault="003C5B3C" w:rsidP="003C5B3C">
      <w:pPr>
        <w:pStyle w:val="Standard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Uwagi i objaśnienia:</w:t>
      </w:r>
    </w:p>
    <w:p w:rsidR="003C5B3C" w:rsidRDefault="003C5B3C" w:rsidP="003C5B3C">
      <w:pPr>
        <w:pStyle w:val="Standard"/>
        <w:rPr>
          <w:rFonts w:ascii="Century Gothic" w:hAnsi="Century Gothic"/>
          <w:sz w:val="18"/>
          <w:szCs w:val="18"/>
        </w:rPr>
      </w:pPr>
    </w:p>
    <w:p w:rsidR="003C5B3C" w:rsidRDefault="003C5B3C" w:rsidP="003C5B3C">
      <w:pPr>
        <w:pStyle w:val="Standard"/>
        <w:widowControl/>
        <w:numPr>
          <w:ilvl w:val="0"/>
          <w:numId w:val="11"/>
        </w:num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3C5B3C" w:rsidRDefault="003C5B3C" w:rsidP="003C5B3C">
      <w:pPr>
        <w:pStyle w:val="Standard"/>
        <w:widowControl/>
        <w:numPr>
          <w:ilvl w:val="0"/>
          <w:numId w:val="11"/>
        </w:numPr>
        <w:jc w:val="both"/>
        <w:rPr>
          <w:rFonts w:ascii="Century Gothic" w:hAnsi="Century Gothic"/>
          <w:sz w:val="18"/>
          <w:szCs w:val="18"/>
          <w:lang w:val="en-US"/>
        </w:rPr>
      </w:pPr>
      <w:r>
        <w:rPr>
          <w:rFonts w:ascii="Century Gothic" w:hAnsi="Century Gothic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3C5B3C" w:rsidRDefault="003C5B3C" w:rsidP="003C5B3C">
      <w:pPr>
        <w:pStyle w:val="Standard"/>
        <w:widowControl/>
        <w:numPr>
          <w:ilvl w:val="0"/>
          <w:numId w:val="11"/>
        </w:num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Wykonawca zobowiązany jest do podania parametrów w jednostkach wskazanych w niniejszym opisie.</w:t>
      </w:r>
    </w:p>
    <w:p w:rsidR="003C5B3C" w:rsidRDefault="003C5B3C" w:rsidP="003C5B3C">
      <w:pPr>
        <w:pStyle w:val="Standard"/>
        <w:widowControl/>
        <w:numPr>
          <w:ilvl w:val="0"/>
          <w:numId w:val="11"/>
        </w:num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Wykonawca gwarantuje niniejszym, że sprzęt jest fabrycznie nowy (rok produkcji: nie </w:t>
      </w:r>
      <w:r w:rsidRPr="006F067E">
        <w:rPr>
          <w:rFonts w:ascii="Century Gothic" w:hAnsi="Century Gothic"/>
          <w:sz w:val="18"/>
          <w:szCs w:val="18"/>
        </w:rPr>
        <w:t>wcześniej niż 2018), nieużywany</w:t>
      </w:r>
      <w:r>
        <w:rPr>
          <w:rFonts w:ascii="Century Gothic" w:hAnsi="Century Gothic"/>
          <w:sz w:val="18"/>
          <w:szCs w:val="18"/>
        </w:rPr>
        <w:t xml:space="preserve">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>
        <w:rPr>
          <w:rFonts w:ascii="Century Gothic" w:hAnsi="Century Gothic"/>
          <w:sz w:val="18"/>
          <w:szCs w:val="18"/>
        </w:rPr>
        <w:t>rekondycjonowanym</w:t>
      </w:r>
      <w:proofErr w:type="spellEnd"/>
      <w:r>
        <w:rPr>
          <w:rFonts w:ascii="Century Gothic" w:hAnsi="Century Gothic"/>
          <w:sz w:val="18"/>
          <w:szCs w:val="18"/>
        </w:rPr>
        <w:t>, powystawowym i nie był wykorzystywany wcześniej przez innego użytkownika.</w:t>
      </w:r>
    </w:p>
    <w:p w:rsidR="003C5B3C" w:rsidRDefault="003C5B3C" w:rsidP="003C5B3C">
      <w:pPr>
        <w:pStyle w:val="Standard"/>
        <w:rPr>
          <w:rFonts w:ascii="Century Gothic" w:hAnsi="Century Gothic"/>
          <w:sz w:val="20"/>
          <w:szCs w:val="20"/>
        </w:rPr>
      </w:pPr>
    </w:p>
    <w:p w:rsidR="003C5B3C" w:rsidRDefault="003C5B3C" w:rsidP="003C5B3C">
      <w:pPr>
        <w:pStyle w:val="Standard"/>
        <w:rPr>
          <w:rFonts w:ascii="Century Gothic" w:hAnsi="Century Gothic"/>
          <w:sz w:val="20"/>
          <w:szCs w:val="20"/>
        </w:rPr>
      </w:pPr>
    </w:p>
    <w:p w:rsidR="003C5B3C" w:rsidRDefault="003C5B3C" w:rsidP="003C5B3C">
      <w:pPr>
        <w:pStyle w:val="Standard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Nazwa i typ: .............................................................</w:t>
      </w:r>
    </w:p>
    <w:p w:rsidR="003C5B3C" w:rsidRDefault="003C5B3C" w:rsidP="003C5B3C">
      <w:pPr>
        <w:pStyle w:val="Standard"/>
        <w:rPr>
          <w:rFonts w:ascii="Century Gothic" w:hAnsi="Century Gothic"/>
          <w:sz w:val="20"/>
          <w:szCs w:val="20"/>
        </w:rPr>
      </w:pPr>
    </w:p>
    <w:p w:rsidR="003C5B3C" w:rsidRDefault="003C5B3C" w:rsidP="003C5B3C">
      <w:pPr>
        <w:pStyle w:val="Standard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Producent / kraj produkcji: ........................................................</w:t>
      </w:r>
    </w:p>
    <w:p w:rsidR="003C5B3C" w:rsidRDefault="003C5B3C" w:rsidP="003C5B3C">
      <w:pPr>
        <w:pStyle w:val="Standard"/>
        <w:rPr>
          <w:rFonts w:ascii="Century Gothic" w:hAnsi="Century Gothic"/>
          <w:sz w:val="20"/>
          <w:szCs w:val="20"/>
        </w:rPr>
      </w:pPr>
    </w:p>
    <w:p w:rsidR="003C5B3C" w:rsidRPr="006F067E" w:rsidRDefault="003C5B3C" w:rsidP="003C5B3C">
      <w:pPr>
        <w:pStyle w:val="Standard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Rok produkcji (min</w:t>
      </w:r>
      <w:r w:rsidRPr="006F067E">
        <w:rPr>
          <w:rFonts w:ascii="Century Gothic" w:hAnsi="Century Gothic"/>
          <w:sz w:val="20"/>
          <w:szCs w:val="20"/>
        </w:rPr>
        <w:t>. 201</w:t>
      </w:r>
      <w:r w:rsidR="0057493A" w:rsidRPr="006F067E">
        <w:rPr>
          <w:rFonts w:ascii="Century Gothic" w:hAnsi="Century Gothic"/>
          <w:sz w:val="20"/>
          <w:szCs w:val="20"/>
        </w:rPr>
        <w:t>8</w:t>
      </w:r>
      <w:r w:rsidRPr="006F067E">
        <w:rPr>
          <w:rFonts w:ascii="Century Gothic" w:hAnsi="Century Gothic"/>
          <w:sz w:val="20"/>
          <w:szCs w:val="20"/>
        </w:rPr>
        <w:t>): …..............</w:t>
      </w:r>
    </w:p>
    <w:p w:rsidR="003C5B3C" w:rsidRPr="006F067E" w:rsidRDefault="003C5B3C" w:rsidP="003C5B3C">
      <w:pPr>
        <w:pStyle w:val="Standard"/>
        <w:rPr>
          <w:rFonts w:ascii="Century Gothic" w:hAnsi="Century Gothic"/>
          <w:sz w:val="20"/>
          <w:szCs w:val="20"/>
        </w:rPr>
      </w:pPr>
    </w:p>
    <w:p w:rsidR="003C5B3C" w:rsidRPr="006F067E" w:rsidRDefault="003C5B3C" w:rsidP="003C5B3C">
      <w:pPr>
        <w:pStyle w:val="Standard"/>
        <w:rPr>
          <w:rFonts w:ascii="Century Gothic" w:hAnsi="Century Gothic"/>
          <w:sz w:val="20"/>
          <w:szCs w:val="20"/>
        </w:rPr>
      </w:pPr>
      <w:r w:rsidRPr="006F067E">
        <w:rPr>
          <w:rFonts w:ascii="Century Gothic" w:hAnsi="Century Gothic"/>
          <w:sz w:val="20"/>
          <w:szCs w:val="20"/>
        </w:rPr>
        <w:t>Klasa wyrobu medycznego: ..................</w:t>
      </w:r>
    </w:p>
    <w:p w:rsidR="003C5B3C" w:rsidRDefault="003C5B3C" w:rsidP="003C5B3C">
      <w:pPr>
        <w:pStyle w:val="Standard"/>
        <w:rPr>
          <w:rFonts w:ascii="Century Gothic" w:hAnsi="Century Gothic"/>
          <w:b/>
          <w:bCs/>
          <w:i/>
          <w:iCs/>
          <w:sz w:val="20"/>
          <w:szCs w:val="20"/>
          <w:shd w:val="clear" w:color="auto" w:fill="CCCCCC"/>
        </w:rPr>
      </w:pPr>
    </w:p>
    <w:p w:rsidR="0021376C" w:rsidRDefault="0021376C" w:rsidP="003C5B3C">
      <w:pPr>
        <w:pStyle w:val="Standard"/>
        <w:rPr>
          <w:rFonts w:ascii="Century Gothic" w:hAnsi="Century Gothic"/>
          <w:b/>
          <w:bCs/>
          <w:i/>
          <w:iCs/>
          <w:sz w:val="20"/>
          <w:szCs w:val="20"/>
          <w:shd w:val="clear" w:color="auto" w:fill="CCCCCC"/>
        </w:rPr>
      </w:pPr>
    </w:p>
    <w:p w:rsidR="0021376C" w:rsidRDefault="0021376C" w:rsidP="003C5B3C">
      <w:pPr>
        <w:pStyle w:val="Standard"/>
        <w:rPr>
          <w:rFonts w:ascii="Century Gothic" w:hAnsi="Century Gothic"/>
          <w:b/>
          <w:bCs/>
          <w:i/>
          <w:iCs/>
          <w:sz w:val="20"/>
          <w:szCs w:val="20"/>
          <w:shd w:val="clear" w:color="auto" w:fill="CCCCCC"/>
        </w:rPr>
      </w:pPr>
    </w:p>
    <w:p w:rsidR="000B65AD" w:rsidRDefault="000B65AD" w:rsidP="003C5B3C">
      <w:pPr>
        <w:pStyle w:val="Standard"/>
        <w:rPr>
          <w:rFonts w:ascii="Century Gothic" w:hAnsi="Century Gothic"/>
          <w:b/>
          <w:bCs/>
          <w:i/>
          <w:iCs/>
          <w:sz w:val="20"/>
          <w:szCs w:val="20"/>
          <w:shd w:val="clear" w:color="auto" w:fill="CCCCCC"/>
        </w:rPr>
      </w:pPr>
    </w:p>
    <w:p w:rsidR="0021376C" w:rsidRDefault="0021376C" w:rsidP="003C5B3C">
      <w:pPr>
        <w:pStyle w:val="Standard"/>
        <w:rPr>
          <w:rFonts w:ascii="Century Gothic" w:hAnsi="Century Gothic"/>
          <w:b/>
          <w:bCs/>
          <w:i/>
          <w:iCs/>
          <w:sz w:val="20"/>
          <w:szCs w:val="20"/>
          <w:shd w:val="clear" w:color="auto" w:fill="CCCCCC"/>
        </w:rPr>
      </w:pPr>
    </w:p>
    <w:p w:rsidR="0021376C" w:rsidRPr="006F067E" w:rsidRDefault="0021376C" w:rsidP="003C5B3C">
      <w:pPr>
        <w:pStyle w:val="Standard"/>
        <w:rPr>
          <w:rFonts w:ascii="Century Gothic" w:hAnsi="Century Gothic"/>
          <w:b/>
          <w:bCs/>
          <w:i/>
          <w:iCs/>
          <w:sz w:val="20"/>
          <w:szCs w:val="20"/>
          <w:shd w:val="clear" w:color="auto" w:fill="CCCCCC"/>
        </w:rPr>
      </w:pPr>
    </w:p>
    <w:p w:rsidR="004F28F3" w:rsidRDefault="004F28F3" w:rsidP="00491879">
      <w:pPr>
        <w:rPr>
          <w:rFonts w:ascii="Century Gothic" w:hAnsi="Century Gothic"/>
          <w:b/>
          <w:sz w:val="20"/>
          <w:szCs w:val="20"/>
        </w:rPr>
      </w:pPr>
    </w:p>
    <w:p w:rsidR="00491879" w:rsidRPr="006F067E" w:rsidRDefault="00491879" w:rsidP="00491879">
      <w:pPr>
        <w:rPr>
          <w:rFonts w:ascii="Century Gothic" w:hAnsi="Century Gothic"/>
          <w:b/>
          <w:sz w:val="20"/>
          <w:szCs w:val="20"/>
        </w:rPr>
      </w:pPr>
      <w:r w:rsidRPr="006F067E">
        <w:rPr>
          <w:rFonts w:ascii="Century Gothic" w:hAnsi="Century Gothic"/>
          <w:b/>
          <w:sz w:val="20"/>
          <w:szCs w:val="20"/>
        </w:rPr>
        <w:lastRenderedPageBreak/>
        <w:t>Parametry techniczne i eksploatacyjne</w:t>
      </w:r>
    </w:p>
    <w:tbl>
      <w:tblPr>
        <w:tblStyle w:val="Tabela-Siatka"/>
        <w:tblW w:w="14024" w:type="dxa"/>
        <w:tblInd w:w="0" w:type="dxa"/>
        <w:tblLook w:val="04A0" w:firstRow="1" w:lastRow="0" w:firstColumn="1" w:lastColumn="0" w:noHBand="0" w:noVBand="1"/>
      </w:tblPr>
      <w:tblGrid>
        <w:gridCol w:w="567"/>
        <w:gridCol w:w="5152"/>
        <w:gridCol w:w="2311"/>
        <w:gridCol w:w="3853"/>
        <w:gridCol w:w="2141"/>
      </w:tblGrid>
      <w:tr w:rsidR="006F067E" w:rsidRPr="006F067E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74" w:rsidRPr="006F067E" w:rsidRDefault="00D45774" w:rsidP="008D6FB9">
            <w:pPr>
              <w:spacing w:before="100" w:beforeAutospacing="1" w:after="100" w:afterAutospacing="1"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6F067E">
              <w:rPr>
                <w:rFonts w:ascii="Century Gothic" w:hAnsi="Century Gothic"/>
                <w:sz w:val="20"/>
                <w:szCs w:val="20"/>
              </w:rPr>
              <w:t>l.p.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74" w:rsidRPr="006F067E" w:rsidRDefault="00D45774" w:rsidP="006E745E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6F067E">
              <w:rPr>
                <w:rFonts w:ascii="Century Gothic" w:hAnsi="Century Gothic"/>
                <w:sz w:val="20"/>
                <w:szCs w:val="20"/>
              </w:rPr>
              <w:t>parametr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74" w:rsidRPr="006F067E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F067E">
              <w:rPr>
                <w:rFonts w:ascii="Century Gothic" w:hAnsi="Century Gothic"/>
                <w:sz w:val="20"/>
                <w:szCs w:val="20"/>
              </w:rPr>
              <w:t>parametr wymagany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74" w:rsidRPr="006F067E" w:rsidRDefault="00D45774" w:rsidP="00D45774">
            <w:pPr>
              <w:spacing w:before="100" w:beforeAutospacing="1" w:after="100" w:afterAutospacing="1" w:line="288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6F067E">
              <w:rPr>
                <w:rFonts w:ascii="Century Gothic" w:hAnsi="Century Gothic"/>
                <w:sz w:val="20"/>
                <w:szCs w:val="20"/>
              </w:rPr>
              <w:t>parametr oferowany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74" w:rsidRPr="006F067E" w:rsidRDefault="00D45774" w:rsidP="00D45774">
            <w:pPr>
              <w:spacing w:before="100" w:beforeAutospacing="1" w:after="100" w:afterAutospacing="1"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6F067E">
              <w:rPr>
                <w:rFonts w:ascii="Century Gothic" w:hAnsi="Century Gothic"/>
                <w:sz w:val="20"/>
                <w:szCs w:val="20"/>
              </w:rPr>
              <w:t>ocena pkt.</w:t>
            </w:r>
          </w:p>
        </w:tc>
      </w:tr>
      <w:tr w:rsidR="006F067E" w:rsidRPr="006F067E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6F067E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74" w:rsidRPr="006F067E" w:rsidRDefault="00D45774" w:rsidP="006E745E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6F067E">
              <w:rPr>
                <w:rFonts w:ascii="Century Gothic" w:hAnsi="Century Gothic"/>
                <w:b/>
                <w:sz w:val="20"/>
                <w:szCs w:val="20"/>
              </w:rPr>
              <w:t>Wymagania ogólne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74" w:rsidRPr="006F067E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6F067E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6F067E" w:rsidRDefault="00D45774" w:rsidP="00D45774">
            <w:pPr>
              <w:spacing w:before="100" w:beforeAutospacing="1" w:after="100" w:afterAutospacing="1"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6F067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6F067E" w:rsidRPr="006F067E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6F067E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6F067E" w:rsidRDefault="00D45774" w:rsidP="001B6354">
            <w:pPr>
              <w:pStyle w:val="Tekstpodstawowy2"/>
              <w:rPr>
                <w:rFonts w:ascii="Century Gothic" w:hAnsi="Century Gothic" w:cs="Arial"/>
                <w:sz w:val="20"/>
              </w:rPr>
            </w:pPr>
            <w:r w:rsidRPr="006F067E">
              <w:rPr>
                <w:rFonts w:ascii="Century Gothic" w:hAnsi="Century Gothic" w:cs="Arial"/>
                <w:sz w:val="20"/>
              </w:rPr>
              <w:t>Urządzenie fab</w:t>
            </w:r>
            <w:r w:rsidR="001B6354">
              <w:rPr>
                <w:rFonts w:ascii="Century Gothic" w:hAnsi="Century Gothic" w:cs="Arial"/>
                <w:sz w:val="20"/>
              </w:rPr>
              <w:t>rycznie nowe, rok produkcji 2018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774" w:rsidRPr="006F067E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6F067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6F067E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774" w:rsidRPr="006F067E" w:rsidRDefault="00D45774" w:rsidP="00D45774">
            <w:pPr>
              <w:spacing w:before="100" w:beforeAutospacing="1" w:after="100" w:afterAutospacing="1"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6F067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Rodzaj promieniowania terapeutycznego: elektrony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Liczba elektronowych wiązek terapeutycznych min. 3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Najniższa energia wiązki terapeutycznej max. 6 </w:t>
            </w:r>
            <w:proofErr w:type="spellStart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MeV</w:t>
            </w:r>
            <w:proofErr w:type="spellEnd"/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Najwyższa energia wiązki terapeutycznej min. 12 </w:t>
            </w:r>
            <w:proofErr w:type="spellStart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MeV</w:t>
            </w:r>
            <w:proofErr w:type="spellEnd"/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Minimalna moc dawki każdej z wiązek, w trybie terapeutycznym (określona na głębokości maksimum, przy SSD=50cm, dla aplikatora o średnicy 10cm) min. 1000cGy/min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Symetria pola promieniowania (w obrębie 1cm wewnątrz </w:t>
            </w:r>
            <w:proofErr w:type="spellStart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izodozy</w:t>
            </w:r>
            <w:proofErr w:type="spellEnd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90%, na głębokości maksimum, przy SSD=50cm) max. 3%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Jednorodność pola promieniowania (w obrębie 1cm wewnątrz </w:t>
            </w:r>
            <w:proofErr w:type="spellStart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izodozy</w:t>
            </w:r>
            <w:proofErr w:type="spellEnd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90%, na głębokości maksimum, przy SSD=50cm) max. ±7% lub dla pola o średnicy 10 cm max. 7%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6 - 7% - 0 pkt.;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br/>
              <w:t>&lt;6 % - 2 pkt.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Kontaminacja fotonowa w wiązkach elektronowych (na głębokości 10 cm poniżej </w:t>
            </w:r>
            <w:proofErr w:type="spellStart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izodozy</w:t>
            </w:r>
            <w:proofErr w:type="spellEnd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10% w wodzie) max. 1%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TAK - 1 pkt.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br/>
              <w:t>NIE - 0 pkt.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Konstrukcja przyspieszacza liniowego elektronów bez magnesów zakrzywiających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Podwójny (podstawowy i zapasowy) system kontroli mocy dawki, oparty o komory jonizacyjne z automatyczną korekcją temperatury i ciśnienia atmosferycznego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437B07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B07" w:rsidRPr="00D45774" w:rsidRDefault="00437B07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B07" w:rsidRPr="00632B3F" w:rsidRDefault="00437B07" w:rsidP="002041E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632B3F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Wbudowany zmotoryzowany </w:t>
            </w:r>
            <w:proofErr w:type="spellStart"/>
            <w:r w:rsidRPr="00632B3F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beamstopper</w:t>
            </w:r>
            <w:proofErr w:type="spellEnd"/>
            <w:r w:rsidRPr="00632B3F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632B3F">
              <w:rPr>
                <w:rFonts w:ascii="Century Gothic" w:hAnsi="Century Gothic" w:cs="Calibri"/>
                <w:color w:val="FF0000"/>
                <w:sz w:val="20"/>
                <w:szCs w:val="20"/>
              </w:rPr>
              <w:t>z systemem synchronizacji pozycji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B07" w:rsidRPr="00632B3F" w:rsidRDefault="00437B07" w:rsidP="002041ED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632B3F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B07" w:rsidRPr="00D45774" w:rsidRDefault="00437B07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B07" w:rsidRPr="00D45774" w:rsidRDefault="00437B07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TAK - 1 pkt.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br/>
              <w:t>NIE - 0 pkt.</w:t>
            </w:r>
          </w:p>
        </w:tc>
      </w:tr>
      <w:tr w:rsidR="00F13F05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2041E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Zintegrowany pochłaniacz wiązki redukuje rozproszone promieniowanie X (</w:t>
            </w:r>
            <w:proofErr w:type="spellStart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bremsstrahlung</w:t>
            </w:r>
            <w:proofErr w:type="spellEnd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) do wartości poniżej 200 µ</w:t>
            </w:r>
            <w:proofErr w:type="spellStart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Gy</w:t>
            </w:r>
            <w:proofErr w:type="spellEnd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przy dawce terapeutycznej 20Gy określonej w odległości SSD=50cm 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2041ED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2041ED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2041ED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632B3F">
              <w:rPr>
                <w:rFonts w:ascii="Century Gothic" w:eastAsia="Times New Roman" w:hAnsi="Century Gothic" w:cs="Calibri"/>
                <w:color w:val="FF0000"/>
                <w:sz w:val="16"/>
                <w:szCs w:val="16"/>
                <w:lang w:eastAsia="pl-PL"/>
              </w:rPr>
              <w:t>wartość najniższa – 3 pkt., większe wartości – 0 pkt.</w:t>
            </w:r>
          </w:p>
        </w:tc>
      </w:tr>
      <w:tr w:rsidR="00F13F05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Wbudowane osłony wewnętrzne redukujące uboczne promieniowanie X  w odległości 3m od pacjenta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F13F05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Głowica terapeutyczna o trzech stopniach swobody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F13F05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Ruchy głowicy sterowane silnikami elektrycznymi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F13F05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Dokładność odczytów mechanicznych położenia głowicy max. 2%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F13F05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Mobilność urządzenia - możliwość przemieszczania kompletnego urządzenia pomiędzy salami operacyjnymi bez instalacji dodatkowego osprzętu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TAK - 2 pkt.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br/>
              <w:t>NIE - 0 pkt.</w:t>
            </w:r>
          </w:p>
        </w:tc>
      </w:tr>
      <w:tr w:rsidR="00F13F05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26230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Możliwość stosowania urządzenia w salach operacyjnych z ewentualną adaptacją radiologiczną Sali operacyjnej w zależności od ilości przeprowadzanych zabiegów 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F13F05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Wbudowany, autonomiczny system chłodzenia wodnego systemu 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TAK - 1 pkt.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br/>
              <w:t>NIE - 0 pkt.</w:t>
            </w:r>
          </w:p>
        </w:tc>
      </w:tr>
      <w:tr w:rsidR="00807949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49" w:rsidRPr="00D45774" w:rsidRDefault="00807949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49" w:rsidRPr="00D45774" w:rsidRDefault="00807949" w:rsidP="00815DC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Maksymalna waga części jezdnej systemu max. 1500 kg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49" w:rsidRPr="00D45774" w:rsidRDefault="00807949" w:rsidP="002041ED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49" w:rsidRPr="00D45774" w:rsidRDefault="00807949" w:rsidP="002041ED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49" w:rsidRPr="00A4340D" w:rsidRDefault="00807949" w:rsidP="002041ED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FF0000"/>
                <w:sz w:val="16"/>
                <w:szCs w:val="16"/>
                <w:lang w:eastAsia="pl-PL"/>
              </w:rPr>
            </w:pPr>
            <w:r w:rsidRPr="00A4340D">
              <w:rPr>
                <w:rFonts w:ascii="Century Gothic" w:eastAsia="Times New Roman" w:hAnsi="Century Gothic" w:cs="Calibri"/>
                <w:color w:val="FF0000"/>
                <w:sz w:val="16"/>
                <w:szCs w:val="16"/>
                <w:lang w:eastAsia="pl-PL"/>
              </w:rPr>
              <w:t xml:space="preserve">mniej niż 800 [kg </w:t>
            </w:r>
            <w:r w:rsidR="002041ED">
              <w:rPr>
                <w:rFonts w:ascii="Century Gothic" w:eastAsia="Times New Roman" w:hAnsi="Century Gothic" w:cs="Calibri"/>
                <w:color w:val="FF0000"/>
                <w:sz w:val="16"/>
                <w:szCs w:val="16"/>
                <w:lang w:eastAsia="pl-PL"/>
              </w:rPr>
              <w:t xml:space="preserve">] </w:t>
            </w:r>
            <w:r w:rsidRPr="00A4340D">
              <w:rPr>
                <w:rFonts w:ascii="Century Gothic" w:eastAsia="Times New Roman" w:hAnsi="Century Gothic" w:cs="Calibri"/>
                <w:color w:val="FF0000"/>
                <w:sz w:val="16"/>
                <w:szCs w:val="16"/>
                <w:lang w:eastAsia="pl-PL"/>
              </w:rPr>
              <w:t xml:space="preserve">– 3 pkt. </w:t>
            </w:r>
          </w:p>
          <w:p w:rsidR="00807949" w:rsidRPr="00A4340D" w:rsidRDefault="00807949" w:rsidP="002041ED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FF0000"/>
                <w:sz w:val="16"/>
                <w:szCs w:val="16"/>
                <w:lang w:eastAsia="pl-PL"/>
              </w:rPr>
            </w:pPr>
            <w:r w:rsidRPr="00A4340D">
              <w:rPr>
                <w:rFonts w:ascii="Century Gothic" w:eastAsia="Times New Roman" w:hAnsi="Century Gothic" w:cs="Calibri"/>
                <w:color w:val="FF0000"/>
                <w:sz w:val="16"/>
                <w:szCs w:val="16"/>
                <w:lang w:eastAsia="pl-PL"/>
              </w:rPr>
              <w:t>od 800 do 1200 [kg] – 1 pkt.</w:t>
            </w:r>
          </w:p>
          <w:p w:rsidR="00807949" w:rsidRPr="00A4340D" w:rsidRDefault="00807949" w:rsidP="002041ED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FF0000"/>
                <w:sz w:val="16"/>
                <w:szCs w:val="16"/>
                <w:lang w:eastAsia="pl-PL"/>
              </w:rPr>
            </w:pPr>
            <w:r w:rsidRPr="00A4340D">
              <w:rPr>
                <w:rFonts w:ascii="Century Gothic" w:eastAsia="Times New Roman" w:hAnsi="Century Gothic" w:cs="Calibri"/>
                <w:color w:val="FF0000"/>
                <w:sz w:val="16"/>
                <w:szCs w:val="16"/>
                <w:lang w:eastAsia="pl-PL"/>
              </w:rPr>
              <w:t>większe wartości – 0 pkt.</w:t>
            </w:r>
          </w:p>
          <w:p w:rsidR="00807949" w:rsidRPr="00A4340D" w:rsidRDefault="00807949" w:rsidP="002041ED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FF0000"/>
                <w:sz w:val="16"/>
                <w:szCs w:val="16"/>
                <w:lang w:eastAsia="pl-PL"/>
              </w:rPr>
            </w:pPr>
          </w:p>
        </w:tc>
      </w:tr>
      <w:tr w:rsidR="005E4ECB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Aplikatory terapeutyczne montowane do stołu operacyjnego za pomocą dedykowanego uchwytu pneumatycznego lub uchwytu - inne rozwiązanie 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4F28F3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4F28F3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Default="005E4ECB" w:rsidP="004F28F3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pneumatyczny - 1 pkt.,;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br/>
              <w:t>inne rozwiązanie - 0 pkt.</w:t>
            </w:r>
          </w:p>
          <w:p w:rsidR="005E4ECB" w:rsidRPr="002519DD" w:rsidRDefault="005E4ECB" w:rsidP="004F28F3">
            <w:pPr>
              <w:spacing w:before="100" w:beforeAutospacing="1" w:after="100" w:afterAutospacing="1" w:line="288" w:lineRule="auto"/>
              <w:jc w:val="both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2519DD">
              <w:rPr>
                <w:rFonts w:ascii="Century Gothic" w:hAnsi="Century Gothic" w:cs="Calibri"/>
                <w:color w:val="FF0000"/>
                <w:sz w:val="16"/>
                <w:szCs w:val="16"/>
              </w:rPr>
              <w:t xml:space="preserve">Przezierność aplikatorów oraz materiał wykonania aplikatorów nieprzewodzący i zapobiegający porażeniu pacjenta – dodatkowe </w:t>
            </w:r>
            <w:r>
              <w:rPr>
                <w:rFonts w:ascii="Century Gothic" w:hAnsi="Century Gothic" w:cs="Calibri"/>
                <w:color w:val="FF0000"/>
                <w:sz w:val="16"/>
                <w:szCs w:val="16"/>
              </w:rPr>
              <w:t>2</w:t>
            </w:r>
            <w:r w:rsidRPr="002519DD">
              <w:rPr>
                <w:rFonts w:ascii="Century Gothic" w:hAnsi="Century Gothic" w:cs="Calibri"/>
                <w:color w:val="FF0000"/>
                <w:sz w:val="16"/>
                <w:szCs w:val="16"/>
              </w:rPr>
              <w:t xml:space="preserve"> pkt.</w:t>
            </w:r>
          </w:p>
        </w:tc>
      </w:tr>
      <w:tr w:rsidR="005E4ECB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Zestaw akcesoriów do precyzyjnego mocowania i ustawiania kolimatorów w polu operacyjnym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9A633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Układ miękkiego, bezstykowego dokowania aplikatorów terapeutycznych, kontrolowany laserowo - automatyczne ustawianie głowicy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aparatu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w odległości kilku milimetrów od aplikatora umieszczonego w polu operacyjnym w pozycji terapeutycznej (głowica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aparatu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nie dotyka do aplikatora)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TAK - 1 pkt.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br/>
              <w:t>NIE - 0 pkt.</w:t>
            </w:r>
          </w:p>
        </w:tc>
      </w:tr>
      <w:tr w:rsidR="005E4ECB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pl-PL"/>
              </w:rPr>
              <w:t>System planowania leczenia do planowania zabiegów radioterapii śródoperacyjnej wiązkami elektronów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5E4ECB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220436" w:rsidRDefault="005E4ECB" w:rsidP="002041ED">
            <w:pPr>
              <w:jc w:val="both"/>
              <w:rPr>
                <w:rFonts w:ascii="Century Gothic" w:eastAsia="Times New Roman" w:hAnsi="Century Gothic" w:cs="Calibri"/>
                <w:color w:val="FF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Oprogramowanie systemu do planowania leczenia 3D do planowania zabiegów radioterapii śródoperacyjnej wiązkami elektronów dla jednej stacji roboczej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Century Gothic" w:eastAsia="Times New Roman" w:hAnsi="Century Gothic" w:cs="Calibri"/>
                <w:color w:val="FF0000"/>
                <w:sz w:val="20"/>
                <w:szCs w:val="20"/>
                <w:lang w:eastAsia="pl-PL"/>
              </w:rPr>
              <w:t xml:space="preserve">lub: urządzenie które </w:t>
            </w:r>
            <w:r w:rsidRPr="00220436">
              <w:rPr>
                <w:rFonts w:ascii="Century Gothic" w:eastAsia="Calibri" w:hAnsi="Century Gothic"/>
                <w:color w:val="FF0000"/>
                <w:sz w:val="20"/>
                <w:szCs w:val="20"/>
              </w:rPr>
              <w:t>umożliwia dokładne obliczenia rozkładu dawki 2D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2041ED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2041ED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2041ED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TAK - 1 pkt.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br/>
              <w:t>NIE - 0 pkt.</w:t>
            </w:r>
          </w:p>
        </w:tc>
      </w:tr>
      <w:tr w:rsidR="005E4ECB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220436" w:rsidRDefault="005E4ECB" w:rsidP="002041ED">
            <w:pPr>
              <w:rPr>
                <w:rFonts w:ascii="Century Gothic" w:eastAsia="Times New Roman" w:hAnsi="Century Gothic" w:cs="Calibri"/>
                <w:strike/>
                <w:color w:val="000000"/>
                <w:sz w:val="20"/>
                <w:szCs w:val="20"/>
                <w:lang w:eastAsia="pl-PL"/>
              </w:rPr>
            </w:pPr>
            <w:r w:rsidRPr="00220436">
              <w:rPr>
                <w:rFonts w:ascii="Century Gothic" w:eastAsia="Times New Roman" w:hAnsi="Century Gothic" w:cs="Calibri"/>
                <w:strike/>
                <w:color w:val="000000"/>
                <w:sz w:val="20"/>
                <w:szCs w:val="20"/>
                <w:lang w:eastAsia="pl-PL"/>
              </w:rPr>
              <w:t>Symulacja zabiegu radioterapii śródoperacyjnej na bazie obrazów CT, uzyskanych przed wykonaniem zabiegu chirurgicznego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220436" w:rsidRDefault="005E4ECB" w:rsidP="002041ED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strike/>
                <w:color w:val="000000"/>
                <w:sz w:val="20"/>
                <w:szCs w:val="20"/>
                <w:lang w:eastAsia="pl-PL"/>
              </w:rPr>
            </w:pPr>
            <w:r w:rsidRPr="00220436">
              <w:rPr>
                <w:rFonts w:ascii="Century Gothic" w:eastAsia="Times New Roman" w:hAnsi="Century Gothic" w:cs="Calibri"/>
                <w:strike/>
                <w:color w:val="000000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220436" w:rsidRDefault="005E4ECB" w:rsidP="002041ED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strike/>
                <w:color w:val="000000"/>
                <w:sz w:val="20"/>
                <w:szCs w:val="20"/>
                <w:lang w:eastAsia="pl-PL"/>
              </w:rPr>
            </w:pPr>
            <w:r w:rsidRPr="00220436">
              <w:rPr>
                <w:rFonts w:ascii="Century Gothic" w:eastAsia="Times New Roman" w:hAnsi="Century Gothic" w:cs="Calibri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220436" w:rsidRDefault="005E4ECB" w:rsidP="002041ED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strike/>
                <w:color w:val="000000"/>
                <w:sz w:val="16"/>
                <w:szCs w:val="16"/>
                <w:lang w:eastAsia="pl-PL"/>
              </w:rPr>
            </w:pPr>
            <w:r w:rsidRPr="00220436">
              <w:rPr>
                <w:rFonts w:ascii="Century Gothic" w:eastAsia="Times New Roman" w:hAnsi="Century Gothic" w:cs="Calibri"/>
                <w:strike/>
                <w:color w:val="000000"/>
                <w:sz w:val="16"/>
                <w:szCs w:val="16"/>
                <w:lang w:eastAsia="pl-PL"/>
              </w:rPr>
              <w:t>TAK - 1 pkt.</w:t>
            </w:r>
            <w:r w:rsidRPr="00220436">
              <w:rPr>
                <w:rFonts w:ascii="Century Gothic" w:eastAsia="Times New Roman" w:hAnsi="Century Gothic" w:cs="Calibri"/>
                <w:strike/>
                <w:color w:val="000000"/>
                <w:sz w:val="16"/>
                <w:szCs w:val="16"/>
                <w:lang w:eastAsia="pl-PL"/>
              </w:rPr>
              <w:br/>
              <w:t>NIE - 0 pkt.</w:t>
            </w:r>
          </w:p>
        </w:tc>
      </w:tr>
      <w:tr w:rsidR="005E4ECB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1D28B5" w:rsidRDefault="005E4ECB" w:rsidP="002041ED">
            <w:pPr>
              <w:rPr>
                <w:rFonts w:ascii="Century Gothic" w:eastAsia="Times New Roman" w:hAnsi="Century Gothic" w:cs="Calibri"/>
                <w:strike/>
                <w:color w:val="000000"/>
                <w:sz w:val="20"/>
                <w:szCs w:val="20"/>
                <w:lang w:eastAsia="pl-PL"/>
              </w:rPr>
            </w:pPr>
            <w:r w:rsidRPr="001D28B5">
              <w:rPr>
                <w:rFonts w:ascii="Century Gothic" w:eastAsia="Times New Roman" w:hAnsi="Century Gothic" w:cs="Calibri"/>
                <w:strike/>
                <w:color w:val="000000"/>
                <w:sz w:val="20"/>
                <w:szCs w:val="20"/>
                <w:lang w:eastAsia="pl-PL"/>
              </w:rPr>
              <w:t>Wybór aplikatora z listy dostępnych aplikatorów, o określonej średnicy i kącie ścięcia końcówki pozycjonowanie aplikatora w przestrzeni oraz w ciele pacjenta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1D28B5" w:rsidRDefault="005E4ECB" w:rsidP="002041ED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strike/>
                <w:color w:val="000000"/>
                <w:sz w:val="20"/>
                <w:szCs w:val="20"/>
                <w:lang w:eastAsia="pl-PL"/>
              </w:rPr>
            </w:pPr>
            <w:r w:rsidRPr="001D28B5">
              <w:rPr>
                <w:rFonts w:ascii="Century Gothic" w:eastAsia="Times New Roman" w:hAnsi="Century Gothic" w:cs="Calibri"/>
                <w:strike/>
                <w:color w:val="000000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1D28B5" w:rsidRDefault="005E4ECB" w:rsidP="002041ED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strike/>
                <w:color w:val="000000"/>
                <w:sz w:val="20"/>
                <w:szCs w:val="20"/>
                <w:lang w:eastAsia="pl-PL"/>
              </w:rPr>
            </w:pPr>
            <w:r w:rsidRPr="001D28B5">
              <w:rPr>
                <w:rFonts w:ascii="Century Gothic" w:eastAsia="Times New Roman" w:hAnsi="Century Gothic" w:cs="Calibri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1D28B5" w:rsidRDefault="005E4ECB" w:rsidP="002041ED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strike/>
                <w:color w:val="000000"/>
                <w:sz w:val="16"/>
                <w:szCs w:val="16"/>
                <w:lang w:eastAsia="pl-PL"/>
              </w:rPr>
            </w:pPr>
            <w:r w:rsidRPr="001D28B5">
              <w:rPr>
                <w:rFonts w:ascii="Century Gothic" w:eastAsia="Times New Roman" w:hAnsi="Century Gothic" w:cs="Calibri"/>
                <w:strike/>
                <w:color w:val="000000"/>
                <w:sz w:val="16"/>
                <w:szCs w:val="16"/>
                <w:lang w:eastAsia="pl-PL"/>
              </w:rPr>
              <w:t>TAK - 1 pkt.</w:t>
            </w:r>
            <w:r w:rsidRPr="001D28B5">
              <w:rPr>
                <w:rFonts w:ascii="Century Gothic" w:eastAsia="Times New Roman" w:hAnsi="Century Gothic" w:cs="Calibri"/>
                <w:strike/>
                <w:color w:val="000000"/>
                <w:sz w:val="16"/>
                <w:szCs w:val="16"/>
                <w:lang w:eastAsia="pl-PL"/>
              </w:rPr>
              <w:br/>
              <w:t>NIE - 0 pkt.</w:t>
            </w:r>
          </w:p>
        </w:tc>
      </w:tr>
      <w:tr w:rsidR="005E4ECB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1D28B5" w:rsidRDefault="005E4ECB" w:rsidP="00C71504">
            <w:pPr>
              <w:rPr>
                <w:rFonts w:ascii="Century Gothic" w:eastAsia="Times New Roman" w:hAnsi="Century Gothic" w:cs="Calibri"/>
                <w:color w:val="FF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Obliczanie rozkładu dawki pochłoniętej od wiązek elektronowych z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aparatów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elektronów do radioterapii śródoperacyjnej z wykorzystaniem algorytmu typu </w:t>
            </w:r>
            <w:proofErr w:type="spellStart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Pencil</w:t>
            </w:r>
            <w:proofErr w:type="spellEnd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Beam</w:t>
            </w:r>
            <w:proofErr w:type="spellEnd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lub równoważny, z uwzględnieniem gęstości elektronowej tkanek pacjenta, geometrii wybranego aplikatora, zastosowanego bolusa oraz płytki osłonnej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D28B5">
              <w:rPr>
                <w:rFonts w:ascii="Century Gothic" w:eastAsia="Times New Roman" w:hAnsi="Century Gothic" w:cs="Calibri"/>
                <w:color w:val="FF0000"/>
                <w:sz w:val="20"/>
                <w:szCs w:val="20"/>
                <w:lang w:eastAsia="pl-PL"/>
              </w:rPr>
              <w:t>lub:</w:t>
            </w:r>
          </w:p>
          <w:p w:rsidR="005E4ECB" w:rsidRPr="001D28B5" w:rsidRDefault="005E4ECB" w:rsidP="00C71504">
            <w:pPr>
              <w:rPr>
                <w:rFonts w:ascii="Century Gothic" w:eastAsia="Times New Roman" w:hAnsi="Century Gothic" w:cs="Calibri"/>
                <w:color w:val="FF0000"/>
                <w:sz w:val="20"/>
                <w:szCs w:val="20"/>
                <w:lang w:eastAsia="pl-PL"/>
              </w:rPr>
            </w:pPr>
            <w:r w:rsidRPr="001D28B5">
              <w:rPr>
                <w:rFonts w:ascii="Century Gothic" w:eastAsia="Calibri" w:hAnsi="Century Gothic"/>
                <w:color w:val="FF0000"/>
                <w:sz w:val="20"/>
                <w:szCs w:val="20"/>
              </w:rPr>
              <w:t>aparat, który umożliwia symulację rozkładu dawki w oparciu o algorytm Monte Carlo w którym, rozkłady dawki obliczane są bardzo szybko w trakcie wykonywanego zabiegu, dla wszystkich aplikatorów oraz stosowanych osłon, co pozwala na podjęcie właściwej decyzji bezpośrednio przed wykonaniem napromieniania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C7150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TAK - 2 pkt.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br/>
              <w:t>NIE - 0 pkt.</w:t>
            </w:r>
          </w:p>
        </w:tc>
      </w:tr>
      <w:tr w:rsidR="005E4ECB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2041E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Generowanie raportów, zawierających komplet informacji o utworzonym planie leczenia IORT min.: 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lastRenderedPageBreak/>
              <w:t xml:space="preserve">pozycja i orientacja przestrzenna aplikatora, </w:t>
            </w:r>
            <w:r w:rsidR="00094117" w:rsidRPr="00094117">
              <w:rPr>
                <w:rFonts w:ascii="Century Gothic" w:eastAsia="Times New Roman" w:hAnsi="Century Gothic" w:cs="Calibri"/>
                <w:color w:val="FF0000"/>
                <w:sz w:val="20"/>
                <w:szCs w:val="20"/>
                <w:lang w:eastAsia="pl-PL"/>
              </w:rPr>
              <w:t>średnica</w:t>
            </w:r>
            <w:r w:rsidRPr="00094117">
              <w:rPr>
                <w:rFonts w:ascii="Century Gothic" w:eastAsia="Times New Roman" w:hAnsi="Century Gothic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aplikatora, kąt ścięcia końcówki aplikatora, kąt ramienia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aparatu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, histogram DVH, przepisana dawka terapeutyczna, sposób normalizacji, liczba jednostek monitorowych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10CDD">
              <w:rPr>
                <w:rFonts w:ascii="Century Gothic" w:eastAsia="Times New Roman" w:hAnsi="Century Gothic" w:cs="Calibri"/>
                <w:color w:val="FF0000"/>
                <w:sz w:val="20"/>
                <w:szCs w:val="20"/>
                <w:lang w:eastAsia="pl-PL"/>
              </w:rPr>
              <w:t>lub: urządzenie</w:t>
            </w:r>
            <w:r w:rsidRPr="00D10CDD">
              <w:rPr>
                <w:rFonts w:ascii="Century Gothic" w:eastAsia="Calibri" w:hAnsi="Century Gothic"/>
                <w:color w:val="FF0000"/>
                <w:sz w:val="20"/>
                <w:szCs w:val="20"/>
              </w:rPr>
              <w:t>, które posiada możliwość generowania raportu zawierającego komplet informacji o tworzonym planie leczenia IORT(m.in. pozycja, średnica aplikatora, kąt ścięcia końcówki, kąt ramienia aparatu, przepisana dawka terapeutyczna, sposób normalizacji, liczba jednostek monitorowych), nie posiadające możliwości tworzenia histogramu DVH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2041ED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lastRenderedPageBreak/>
              <w:t>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2041ED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2041ED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TAK - 2 pkt.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br/>
              <w:t>NIE - 0 pkt.</w:t>
            </w:r>
          </w:p>
        </w:tc>
      </w:tr>
      <w:tr w:rsidR="005E4ECB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26230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Stacja robocza dla oferowanego systemu planowania leczenia 3D do radioterapii śródoperacyjnej, w konfiguracji co najmniej: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br/>
              <w:t xml:space="preserve">-    1 procesor min. 4-rdzeniowy 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br/>
              <w:t>-     min. 4 GB RAM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br/>
              <w:t xml:space="preserve">-     2 twarde dyski min. 500GB każdy, 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br/>
              <w:t>-     karta graficzna min. 1GB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br/>
              <w:t xml:space="preserve">-     karta sieciowa min. 10/100/1000 </w:t>
            </w:r>
            <w:proofErr w:type="spellStart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Mbps</w:t>
            </w:r>
            <w:proofErr w:type="spellEnd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br/>
              <w:t>-     mysz i klawiatura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br/>
              <w:t>-     monitor LCD min. 23” o rozdzielczości Full HD - min. 2 szt.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br/>
              <w:t xml:space="preserve">-     system operacyjny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umożliwiający obsługę wszystkich w/w aplikacji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, min. 64 bit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TAK, opisać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6E745E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pl-PL"/>
              </w:rPr>
              <w:t>Aplikatory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5E4ECB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Default="005E4ECB" w:rsidP="002041E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Zestaw aplikatorów cylindrycznych o średnicach w zakresie co najmniej od 3 cm do 10 cm, co max. 1 cm, o kącie końcówki 0° (min. 8 aplikatorów). W 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lastRenderedPageBreak/>
              <w:t>przypadku, gdy niezbędnym do prawidłowej pracy urządzenia, jest użycie bolusów, Wykonawca dostarczy zestaw aplikatorów wraz z bolusami o grubości 5mm i 10mm dla każdego z aplikatorów (min. 16 bolusów)</w:t>
            </w:r>
          </w:p>
          <w:p w:rsidR="005E4ECB" w:rsidRPr="00A06D74" w:rsidRDefault="005E4ECB" w:rsidP="002041ED">
            <w:pPr>
              <w:rPr>
                <w:rFonts w:ascii="Century Gothic" w:eastAsia="Times New Roman" w:hAnsi="Century Gothic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entury Gothic" w:eastAsia="Times New Roman" w:hAnsi="Century Gothic" w:cs="Calibri"/>
                <w:color w:val="FF0000"/>
                <w:sz w:val="20"/>
                <w:szCs w:val="20"/>
                <w:lang w:eastAsia="pl-PL"/>
              </w:rPr>
              <w:t xml:space="preserve">lub urządzenie </w:t>
            </w:r>
            <w:r w:rsidRPr="00A06D74">
              <w:rPr>
                <w:rFonts w:ascii="Century Gothic" w:eastAsia="Calibri" w:hAnsi="Century Gothic"/>
                <w:color w:val="FF0000"/>
                <w:sz w:val="20"/>
                <w:szCs w:val="20"/>
              </w:rPr>
              <w:t>nie posiadające aplikatorów co 1cm w wymaganym zakresie, ale pokrywające wymagany przez Zamawiającego zakres, które ze względu na unikatowa konstrukcję aplikatorów nie posiada i nie wymaga stosowania bolusów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2041ED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lastRenderedPageBreak/>
              <w:t>TAK, opisać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2041ED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A06D74" w:rsidRDefault="005E4ECB" w:rsidP="002041ED">
            <w:pPr>
              <w:rPr>
                <w:rFonts w:ascii="Century Gothic" w:eastAsia="Times New Roman" w:hAnsi="Century Gothic" w:cs="Calibri"/>
                <w:color w:val="FF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Zestaw aplikatorów cylindrycznych o średnicach w zakresie co najmniej od 3 cm do 10 cm, co max. 1 cm, o kącie końcówki 15° (min. 8 aplikatorów). W przypadku, gdy niezbędnym do prawidłowej pracy urządzenia, jest użycie bolusów, Wykonawca dostarczy zestaw aplikatorów wraz z bolusami o grubości 5mm i 10mm dla każdego z aplikatorów (min. 16 bolusów)</w:t>
            </w:r>
            <w:r>
              <w:rPr>
                <w:rFonts w:ascii="Century Gothic" w:eastAsia="Times New Roman" w:hAnsi="Century Gothic" w:cs="Calibri"/>
                <w:color w:val="FF0000"/>
                <w:sz w:val="20"/>
                <w:szCs w:val="20"/>
                <w:lang w:eastAsia="pl-PL"/>
              </w:rPr>
              <w:t xml:space="preserve"> lub urządzenie </w:t>
            </w:r>
            <w:r w:rsidRPr="00A06D74">
              <w:rPr>
                <w:rFonts w:ascii="Century Gothic" w:eastAsia="Calibri" w:hAnsi="Century Gothic"/>
                <w:color w:val="FF0000"/>
                <w:sz w:val="20"/>
                <w:szCs w:val="20"/>
              </w:rPr>
              <w:t>nie posiadające aplikatorów co 1cm w wymaganym zakresie, ale pokrywające wymagany przez Zamawiającego zakres, które ze względu na unikatowa konstrukcję aplikatorów nie posiada i nie wymaga stosowania bolusów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2041ED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2041ED">
            <w:pPr>
              <w:jc w:val="both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Zestaw aplikatorów cylindrycznych o średnicach w zakresie co najmniej od 3 cm do 10 cm, co max. 1 cm, o kącie końcówki 30° (min. 8 aplikatorów). W przypadku, gdy niezbędnym do prawidłowej pracy urządzenia, jest użycie bolusów, Wykonawca dostarczy zestaw aplikatorów wraz z bolusami o grubości 5mm i 10mm dla każdego z aplikatorów (min. 16 bolusów)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342941">
              <w:rPr>
                <w:rFonts w:ascii="Century Gothic" w:eastAsia="Times New Roman" w:hAnsi="Century Gothic" w:cs="Calibri"/>
                <w:color w:val="FF0000"/>
                <w:sz w:val="20"/>
                <w:szCs w:val="20"/>
                <w:lang w:eastAsia="pl-PL"/>
              </w:rPr>
              <w:t xml:space="preserve">lub urządzenie </w:t>
            </w:r>
            <w:r w:rsidRPr="00342941">
              <w:rPr>
                <w:rFonts w:ascii="Century Gothic" w:eastAsia="Calibri" w:hAnsi="Century Gothic"/>
                <w:color w:val="FF0000"/>
                <w:sz w:val="20"/>
                <w:szCs w:val="20"/>
              </w:rPr>
              <w:t xml:space="preserve">nie posiadające </w:t>
            </w:r>
            <w:r w:rsidRPr="00342941">
              <w:rPr>
                <w:rFonts w:ascii="Century Gothic" w:eastAsia="Calibri" w:hAnsi="Century Gothic"/>
                <w:color w:val="FF0000"/>
                <w:sz w:val="20"/>
                <w:szCs w:val="20"/>
              </w:rPr>
              <w:lastRenderedPageBreak/>
              <w:t>aplikatorów co 1cm w wymaganym zakresie, ale pokrywające wymagany przez Zamawiającego zakres, które ze względu na unikatową konstrukcję aplikatorów nie posiada i nie wymaga stosowania bolusów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2041ED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lastRenderedPageBreak/>
              <w:t>TAK, 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Default="005E4ECB" w:rsidP="002041ED">
            <w:pPr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Zestaw płytek osłonnych do ochrony narządów krytycznych, o grubości ok. 10mm i średnicach w zakresie min. 5 - 10 cm (min. 8 szt.)</w:t>
            </w:r>
          </w:p>
          <w:p w:rsidR="005E4ECB" w:rsidRPr="00D45774" w:rsidRDefault="005E4ECB" w:rsidP="002041ED">
            <w:pPr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632B3F">
              <w:rPr>
                <w:rFonts w:ascii="Century Gothic" w:eastAsia="Times New Roman" w:hAnsi="Century Gothic" w:cs="Calibri"/>
                <w:color w:val="FF0000"/>
                <w:sz w:val="20"/>
                <w:szCs w:val="20"/>
                <w:lang w:eastAsia="pl-PL"/>
              </w:rPr>
              <w:t xml:space="preserve">lub </w:t>
            </w:r>
            <w:r w:rsidRPr="00632B3F">
              <w:rPr>
                <w:rFonts w:ascii="Century Gothic" w:eastAsia="Calibri" w:hAnsi="Century Gothic"/>
                <w:color w:val="FF0000"/>
                <w:sz w:val="20"/>
                <w:szCs w:val="20"/>
              </w:rPr>
              <w:t>urządzenie posiadające płytki osłonne do ochrony narządów krytycznych w zakresie od 4cm do 9cm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2041ED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2041ED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2041ED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 </w:t>
            </w:r>
            <w:r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---</w:t>
            </w:r>
          </w:p>
        </w:tc>
      </w:tr>
      <w:tr w:rsidR="005E4ECB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6E745E">
            <w:pPr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pl-PL"/>
              </w:rPr>
              <w:t>Pozostał</w:t>
            </w:r>
            <w:r w:rsidRPr="00D45774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</w:p>
        </w:tc>
      </w:tr>
      <w:tr w:rsidR="005E4ECB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Źródło kontrolne Sr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vertAlign w:val="superscript"/>
                <w:lang w:eastAsia="pl-PL"/>
              </w:rPr>
              <w:t>90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 do komory płasko równoległej typu </w:t>
            </w:r>
            <w:proofErr w:type="spellStart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Roos</w:t>
            </w:r>
            <w:proofErr w:type="spellEnd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, z pojemnikiem ochronnym i uchwytem mocującym komorę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TAK, 1 sztuka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9A633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System okablowania  dozymetrycznego typu C-Box na sali operacyjnej,  w której wykorzystywany będzie zamawiany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aparat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do radioterapii śródoperacyjnej umożliwiający podłączenie: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br/>
              <w:t xml:space="preserve">- dawkomierza 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br/>
              <w:t>- komór jonizacyjnych ze złączem podanym przez Zamawiającego w dniu podpisania umowy,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br/>
              <w:t>- okablowania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TAK, 1 komplet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26230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Zamawiający wymaga, aby Wykonawca dostarczył niezbędną dokumentację w dniu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dostawy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, która umożliwi Generalnemu Wykonawcy wykonanie projektu osłon radiologicznych, należy również zabezpieczyć prawidłowe wykonanie testów specjalistycznych 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lastRenderedPageBreak/>
              <w:t>oraz dopasowania pracowni do wymogów oferowanego urządzenia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6E745E">
            <w:pPr>
              <w:rPr>
                <w:rFonts w:ascii="Century Gothic" w:eastAsia="Times New Roman" w:hAnsi="Century Gothic" w:cs="Calibr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eastAsia="Times New Roman" w:hAnsi="Century Gothic" w:cs="Calibri"/>
                <w:b/>
                <w:color w:val="000000"/>
                <w:sz w:val="20"/>
                <w:szCs w:val="20"/>
                <w:lang w:eastAsia="pl-PL"/>
              </w:rPr>
              <w:t>R</w:t>
            </w:r>
            <w:r w:rsidRPr="00D45774">
              <w:rPr>
                <w:rFonts w:ascii="Century Gothic" w:eastAsia="Times New Roman" w:hAnsi="Century Gothic" w:cs="Calibri"/>
                <w:b/>
                <w:color w:val="000000"/>
                <w:sz w:val="20"/>
                <w:szCs w:val="20"/>
                <w:lang w:eastAsia="pl-PL"/>
              </w:rPr>
              <w:t>adionawigacja śródoperacyjna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Zasilanie elektryczne 230 VAC. Standardowe podłączenie za pomocą wtyczki prądu jednofazowego, wyposażony w UPS.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Detektor promieniowania gamma na elektromagnetycznym wysięgniku o długości min. 140 cm. Ramię sterowane przyciskiem, który zwalnia hamulce elektromagnetyczne i pozwala na korzystanie z detektora.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autoSpaceDE w:val="0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eastAsia="Calibri, Calibri" w:hAnsi="Century Gothic" w:cs="Calibri, Calibri"/>
                <w:color w:val="000000"/>
                <w:sz w:val="20"/>
                <w:szCs w:val="20"/>
              </w:rPr>
              <w:t xml:space="preserve">Działanie oparte o soczewkę scyntylacyjną wykonaną z </w:t>
            </w:r>
            <w:proofErr w:type="spellStart"/>
            <w:r w:rsidRPr="00D45774">
              <w:rPr>
                <w:rFonts w:ascii="Century Gothic" w:eastAsia="Calibri, Calibri" w:hAnsi="Century Gothic" w:cs="Calibri, Calibri"/>
                <w:color w:val="000000"/>
                <w:sz w:val="20"/>
                <w:szCs w:val="20"/>
              </w:rPr>
              <w:t>CsI</w:t>
            </w:r>
            <w:proofErr w:type="spellEnd"/>
            <w:r w:rsidRPr="00D45774">
              <w:rPr>
                <w:rFonts w:ascii="Century Gothic" w:eastAsia="Calibri, Calibri" w:hAnsi="Century Gothic" w:cs="Calibri, Calibri"/>
                <w:color w:val="000000"/>
                <w:sz w:val="20"/>
                <w:szCs w:val="20"/>
              </w:rPr>
              <w:t>(Na) i z fotopowielacza wrażliwego na zmiany położenia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Default"/>
              <w:rPr>
                <w:rFonts w:ascii="Century Gothic" w:eastAsia="F" w:hAnsi="Century Gothic" w:cs="F"/>
                <w:sz w:val="20"/>
                <w:szCs w:val="20"/>
              </w:rPr>
            </w:pPr>
            <w:r w:rsidRPr="00D45774">
              <w:rPr>
                <w:rFonts w:ascii="Century Gothic" w:eastAsia="F" w:hAnsi="Century Gothic" w:cs="F"/>
                <w:sz w:val="20"/>
                <w:szCs w:val="20"/>
              </w:rPr>
              <w:t>Użyteczne pole widzenia: 40 × 40 mm</w:t>
            </w:r>
          </w:p>
          <w:p w:rsidR="005E4ECB" w:rsidRPr="00D45774" w:rsidRDefault="005E4ECB" w:rsidP="006E745E">
            <w:pPr>
              <w:pStyle w:val="Standard"/>
              <w:autoSpaceDE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C71504">
            <w:pPr>
              <w:pStyle w:val="Default"/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 xml:space="preserve">Rozdzielczość przestrzenna </w:t>
            </w:r>
            <w:r w:rsidRPr="00842A7F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kolimatora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842A7F"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systemu</w:t>
            </w:r>
            <w:r w:rsidRPr="00D45774">
              <w:rPr>
                <w:rFonts w:ascii="Century Gothic" w:hAnsi="Century Gothic"/>
                <w:sz w:val="20"/>
                <w:szCs w:val="20"/>
              </w:rPr>
              <w:t>: 1.8 mm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C7150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F" w:hAnsi="Century Gothic" w:cs="F"/>
                <w:sz w:val="20"/>
                <w:szCs w:val="20"/>
              </w:rPr>
              <w:t>O</w:t>
            </w:r>
            <w:r w:rsidRPr="00D45774">
              <w:rPr>
                <w:rFonts w:ascii="Century Gothic" w:eastAsia="F" w:hAnsi="Century Gothic" w:cs="F"/>
                <w:sz w:val="20"/>
                <w:szCs w:val="20"/>
              </w:rPr>
              <w:t>gniskowa kolimatora: 31 mm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Ś</w:t>
            </w:r>
            <w:r w:rsidRPr="00D45774">
              <w:rPr>
                <w:rFonts w:ascii="Century Gothic" w:hAnsi="Century Gothic"/>
                <w:sz w:val="20"/>
                <w:szCs w:val="20"/>
              </w:rPr>
              <w:t>rednica: 4 mm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 xml:space="preserve">Czułość: 233 </w:t>
            </w:r>
            <w:proofErr w:type="spellStart"/>
            <w:r w:rsidRPr="00D45774">
              <w:rPr>
                <w:rFonts w:ascii="Century Gothic" w:hAnsi="Century Gothic"/>
                <w:sz w:val="20"/>
                <w:szCs w:val="20"/>
              </w:rPr>
              <w:t>cpm</w:t>
            </w:r>
            <w:proofErr w:type="spellEnd"/>
            <w:r w:rsidRPr="00D45774">
              <w:rPr>
                <w:rFonts w:ascii="Century Gothic" w:hAnsi="Century Gothic"/>
                <w:sz w:val="20"/>
                <w:szCs w:val="20"/>
              </w:rPr>
              <w:t>/</w:t>
            </w:r>
            <w:proofErr w:type="spellStart"/>
            <w:r w:rsidRPr="00D45774">
              <w:rPr>
                <w:rFonts w:ascii="Century Gothic" w:hAnsi="Century Gothic"/>
                <w:sz w:val="20"/>
                <w:szCs w:val="20"/>
              </w:rPr>
              <w:t>μCi</w:t>
            </w:r>
            <w:proofErr w:type="spellEnd"/>
            <w:r w:rsidRPr="00D45774">
              <w:rPr>
                <w:rFonts w:ascii="Century Gothic" w:hAnsi="Century Gothic"/>
                <w:sz w:val="20"/>
                <w:szCs w:val="20"/>
              </w:rPr>
              <w:t xml:space="preserve"> w odległości 5 cm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 xml:space="preserve">Rozdzielczość dla 140 </w:t>
            </w:r>
            <w:proofErr w:type="spellStart"/>
            <w:r w:rsidRPr="00D45774">
              <w:rPr>
                <w:rFonts w:ascii="Century Gothic" w:hAnsi="Century Gothic"/>
                <w:sz w:val="20"/>
                <w:szCs w:val="20"/>
              </w:rPr>
              <w:t>keV</w:t>
            </w:r>
            <w:proofErr w:type="spellEnd"/>
            <w:r w:rsidRPr="00D45774">
              <w:rPr>
                <w:rFonts w:ascii="Century Gothic" w:hAnsi="Century Gothic"/>
                <w:sz w:val="20"/>
                <w:szCs w:val="20"/>
              </w:rPr>
              <w:t>: 17 %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Obszar detekcji min. 1500mm2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Możliwość detekcji zarówno w zakresie przedoperacyjnym, śródoperacyjnym jak i pooperacyjnym.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autoSpaceDE w:val="0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eastAsia="Calibri, Calibri" w:hAnsi="Century Gothic" w:cs="Calibri, Calibri"/>
                <w:color w:val="000000"/>
                <w:sz w:val="20"/>
                <w:szCs w:val="20"/>
              </w:rPr>
              <w:t>System pozycjonowania lasera (LPS)  w podstawie gamma kamery składający się z dwóch laserów o mocy:</w:t>
            </w:r>
            <w:r>
              <w:rPr>
                <w:rFonts w:ascii="Century Gothic" w:eastAsia="Calibri, Calibri" w:hAnsi="Century Gothic" w:cs="Calibri, Calibri"/>
                <w:color w:val="000000"/>
                <w:sz w:val="20"/>
                <w:szCs w:val="20"/>
              </w:rPr>
              <w:t xml:space="preserve"> </w:t>
            </w:r>
            <w:r w:rsidRPr="00D45774">
              <w:rPr>
                <w:rFonts w:ascii="Century Gothic" w:eastAsia="Calibri, Calibri" w:hAnsi="Century Gothic" w:cs="Calibri, Calibri"/>
                <w:color w:val="000000"/>
                <w:sz w:val="20"/>
                <w:szCs w:val="20"/>
              </w:rPr>
              <w:t xml:space="preserve"> 4 </w:t>
            </w:r>
            <w:proofErr w:type="spellStart"/>
            <w:r w:rsidRPr="00D45774">
              <w:rPr>
                <w:rFonts w:ascii="Century Gothic" w:eastAsia="Calibri, Calibri" w:hAnsi="Century Gothic" w:cs="Calibri, Calibri"/>
                <w:color w:val="000000"/>
                <w:sz w:val="20"/>
                <w:szCs w:val="20"/>
              </w:rPr>
              <w:t>mW</w:t>
            </w:r>
            <w:proofErr w:type="spellEnd"/>
            <w:r w:rsidRPr="00D45774">
              <w:rPr>
                <w:rFonts w:ascii="Century Gothic" w:eastAsia="Calibri, Calibri" w:hAnsi="Century Gothic" w:cs="Calibri, Calibri"/>
                <w:color w:val="000000"/>
                <w:sz w:val="20"/>
                <w:szCs w:val="20"/>
              </w:rPr>
              <w:t xml:space="preserve"> i długości fali 635 </w:t>
            </w:r>
            <w:proofErr w:type="spellStart"/>
            <w:r w:rsidRPr="00D45774">
              <w:rPr>
                <w:rFonts w:ascii="Century Gothic" w:eastAsia="Calibri, Calibri" w:hAnsi="Century Gothic" w:cs="Calibri, Calibri"/>
                <w:color w:val="000000"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Detekcja:</w:t>
            </w:r>
          </w:p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- węzła wartowniczego,</w:t>
            </w:r>
          </w:p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- guzów głowy i szyi,</w:t>
            </w:r>
          </w:p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- guzów tarczycy i przytarczyc,</w:t>
            </w:r>
          </w:p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- guzów piersi,</w:t>
            </w:r>
          </w:p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- guzów stercza,</w:t>
            </w:r>
          </w:p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- guzów w zakresie ginekologii,</w:t>
            </w:r>
          </w:p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- guzów w zakresie endokrynologii,</w:t>
            </w:r>
          </w:p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- guzów głębiej niż 3 cm,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  <w:lang w:val="en-US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Znaczniki promieniotwórcze współpracujące z urządzeniem min:</w:t>
            </w:r>
          </w:p>
          <w:p w:rsidR="005E4ECB" w:rsidRPr="00D45774" w:rsidRDefault="005E4ECB" w:rsidP="006E745E">
            <w:pPr>
              <w:pStyle w:val="Default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D45774">
              <w:rPr>
                <w:rFonts w:ascii="Century Gothic" w:hAnsi="Century Gothic"/>
                <w:sz w:val="20"/>
                <w:szCs w:val="20"/>
                <w:lang w:val="en-US"/>
              </w:rPr>
              <w:t>Technet-99m</w:t>
            </w:r>
          </w:p>
          <w:p w:rsidR="005E4ECB" w:rsidRPr="00D45774" w:rsidRDefault="005E4ECB" w:rsidP="006E745E">
            <w:pPr>
              <w:pStyle w:val="Default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D45774">
              <w:rPr>
                <w:rFonts w:ascii="Century Gothic" w:hAnsi="Century Gothic"/>
                <w:sz w:val="20"/>
                <w:szCs w:val="20"/>
                <w:lang w:val="en-US"/>
              </w:rPr>
              <w:t>Ameryk-241</w:t>
            </w:r>
          </w:p>
          <w:p w:rsidR="005E4ECB" w:rsidRPr="00D45774" w:rsidRDefault="005E4ECB" w:rsidP="006E745E">
            <w:pPr>
              <w:pStyle w:val="Default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D45774">
              <w:rPr>
                <w:rFonts w:ascii="Century Gothic" w:hAnsi="Century Gothic"/>
                <w:sz w:val="20"/>
                <w:szCs w:val="20"/>
                <w:lang w:val="en-US"/>
              </w:rPr>
              <w:t>Bar-133</w:t>
            </w:r>
          </w:p>
          <w:p w:rsidR="005E4ECB" w:rsidRPr="00D45774" w:rsidRDefault="005E4ECB" w:rsidP="006E745E">
            <w:pPr>
              <w:pStyle w:val="Default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D45774">
              <w:rPr>
                <w:rFonts w:ascii="Century Gothic" w:hAnsi="Century Gothic"/>
                <w:sz w:val="20"/>
                <w:szCs w:val="20"/>
                <w:lang w:val="en-US"/>
              </w:rPr>
              <w:t>Kobalt-157</w:t>
            </w:r>
          </w:p>
          <w:p w:rsidR="005E4ECB" w:rsidRPr="00D45774" w:rsidRDefault="005E4ECB" w:rsidP="006E745E">
            <w:pPr>
              <w:pStyle w:val="Default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D45774">
              <w:rPr>
                <w:rFonts w:ascii="Century Gothic" w:hAnsi="Century Gothic"/>
                <w:sz w:val="20"/>
                <w:szCs w:val="20"/>
                <w:lang w:val="en-US"/>
              </w:rPr>
              <w:t>Gadolin-153</w:t>
            </w:r>
          </w:p>
          <w:p w:rsidR="005E4ECB" w:rsidRPr="00D45774" w:rsidRDefault="005E4ECB" w:rsidP="006E745E">
            <w:pPr>
              <w:pStyle w:val="Default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D45774">
              <w:rPr>
                <w:rFonts w:ascii="Century Gothic" w:hAnsi="Century Gothic"/>
                <w:sz w:val="20"/>
                <w:szCs w:val="20"/>
                <w:lang w:val="en-US"/>
              </w:rPr>
              <w:t>Gallium- 67</w:t>
            </w:r>
          </w:p>
          <w:p w:rsidR="005E4ECB" w:rsidRPr="00D45774" w:rsidRDefault="005E4ECB" w:rsidP="006E745E">
            <w:pPr>
              <w:pStyle w:val="Default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D45774">
              <w:rPr>
                <w:rFonts w:ascii="Century Gothic" w:hAnsi="Century Gothic"/>
                <w:sz w:val="20"/>
                <w:szCs w:val="20"/>
                <w:lang w:val="en-US"/>
              </w:rPr>
              <w:t>Ind-111</w:t>
            </w:r>
          </w:p>
          <w:p w:rsidR="005E4ECB" w:rsidRPr="00D45774" w:rsidRDefault="005E4ECB" w:rsidP="006E745E">
            <w:pPr>
              <w:pStyle w:val="Default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D45774">
              <w:rPr>
                <w:rFonts w:ascii="Century Gothic" w:hAnsi="Century Gothic"/>
                <w:sz w:val="20"/>
                <w:szCs w:val="20"/>
                <w:lang w:val="en-US"/>
              </w:rPr>
              <w:t>Jod-123</w:t>
            </w:r>
          </w:p>
          <w:p w:rsidR="005E4ECB" w:rsidRPr="00D45774" w:rsidRDefault="005E4ECB" w:rsidP="006E745E">
            <w:pPr>
              <w:pStyle w:val="Default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D45774">
              <w:rPr>
                <w:rFonts w:ascii="Century Gothic" w:hAnsi="Century Gothic"/>
                <w:sz w:val="20"/>
                <w:szCs w:val="20"/>
                <w:lang w:val="en-US"/>
              </w:rPr>
              <w:t>Jod-131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C715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Kompatybilne zewnętrzne sondy promieniowania gamma dla chirurgii otwartej (1 szt.) i laparoskopowej (1 szt.) Obie sondy wyświetlające wyniki pomiarów bezpośrednio na ekranie radionawigacji operacyjnej:</w:t>
            </w:r>
          </w:p>
          <w:p w:rsidR="005E4ECB" w:rsidRPr="00D45774" w:rsidRDefault="005E4ECB" w:rsidP="00C715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lastRenderedPageBreak/>
              <w:t>- średnica sond max. 12 mm,</w:t>
            </w:r>
          </w:p>
          <w:p w:rsidR="005E4ECB" w:rsidRPr="00D45774" w:rsidRDefault="005E4ECB" w:rsidP="00C715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- długość końcówki laparoskopowej min. 30 cm,</w:t>
            </w:r>
          </w:p>
          <w:p w:rsidR="005E4ECB" w:rsidRPr="00D45774" w:rsidRDefault="005E4ECB" w:rsidP="00C715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- czułość sond w odległości 1 cm od źródła &gt;100cps/</w:t>
            </w:r>
            <w:proofErr w:type="spellStart"/>
            <w:r w:rsidRPr="00D45774">
              <w:rPr>
                <w:rFonts w:ascii="Century Gothic" w:hAnsi="Century Gothic"/>
                <w:sz w:val="20"/>
                <w:szCs w:val="20"/>
              </w:rPr>
              <w:t>μCi</w:t>
            </w:r>
            <w:proofErr w:type="spellEnd"/>
            <w:r w:rsidRPr="00D45774">
              <w:rPr>
                <w:rFonts w:ascii="Century Gothic" w:hAnsi="Century Gothic"/>
                <w:sz w:val="20"/>
                <w:szCs w:val="20"/>
              </w:rPr>
              <w:t>,</w:t>
            </w:r>
          </w:p>
          <w:p w:rsidR="005E4ECB" w:rsidRPr="00D45774" w:rsidRDefault="005E4ECB" w:rsidP="00C715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 xml:space="preserve">- maksymalna czułość  &gt; 450 </w:t>
            </w:r>
            <w:proofErr w:type="spellStart"/>
            <w:r w:rsidRPr="00D45774">
              <w:rPr>
                <w:rFonts w:ascii="Century Gothic" w:hAnsi="Century Gothic"/>
                <w:sz w:val="20"/>
                <w:szCs w:val="20"/>
              </w:rPr>
              <w:t>cps</w:t>
            </w:r>
            <w:proofErr w:type="spellEnd"/>
            <w:r w:rsidRPr="00D45774">
              <w:rPr>
                <w:rFonts w:ascii="Century Gothic" w:hAnsi="Century Gothic"/>
                <w:sz w:val="20"/>
                <w:szCs w:val="20"/>
              </w:rPr>
              <w:t>/</w:t>
            </w:r>
            <w:proofErr w:type="spellStart"/>
            <w:r w:rsidRPr="00D45774">
              <w:rPr>
                <w:rFonts w:ascii="Century Gothic" w:hAnsi="Century Gothic"/>
                <w:sz w:val="20"/>
                <w:szCs w:val="20"/>
              </w:rPr>
              <w:t>μCi</w:t>
            </w:r>
            <w:proofErr w:type="spellEnd"/>
            <w:r w:rsidRPr="00D45774">
              <w:rPr>
                <w:rFonts w:ascii="Century Gothic" w:hAnsi="Century Gothic"/>
                <w:sz w:val="20"/>
                <w:szCs w:val="20"/>
              </w:rPr>
              <w:t>,</w:t>
            </w:r>
          </w:p>
          <w:p w:rsidR="005E4ECB" w:rsidRPr="00D45774" w:rsidRDefault="005E4ECB" w:rsidP="00C715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- zakres mierzonych energii min: 85-200keV,</w:t>
            </w:r>
          </w:p>
          <w:p w:rsidR="005E4ECB" w:rsidRPr="00D45774" w:rsidRDefault="005E4ECB" w:rsidP="00C715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- rozdzielczość kątowa min. </w:t>
            </w:r>
            <w:r w:rsidRPr="00842A7F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45º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 w:rsidRPr="00842A7F"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40º,</w:t>
            </w:r>
          </w:p>
          <w:p w:rsidR="005E4ECB" w:rsidRPr="00D45774" w:rsidRDefault="005E4ECB" w:rsidP="00C715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- sondy sterylizowane.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C7150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Obrazowanie miejsc wysyconych izotopem na monitorach LCD min. 19 cali, ustawione równolegle do siebie tyłem dla personelu po obu stronach 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Obrazowanie w czasie rzeczywistym – usuwana zmiana jest od razu widoczna na ekranach bez konieczności ponownego skanowania obszaru..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Monitor dotykowy min. w części zabiegowej.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Komunikacja poprzez LAN/USB, obsługa formatu DICOM.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Definiowanie i zmiana ustawień operatora – logowanie.</w:t>
            </w:r>
            <w:r w:rsidRPr="00D45774">
              <w:rPr>
                <w:rFonts w:ascii="Century Gothic" w:hAnsi="Century Gothic"/>
                <w:sz w:val="20"/>
                <w:szCs w:val="20"/>
                <w:lang w:eastAsia="en-US"/>
              </w:rPr>
              <w:t xml:space="preserve"> (dane użytkownika, dane logowania)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D45774">
              <w:rPr>
                <w:rFonts w:ascii="Century Gothic" w:hAnsi="Century Gothic"/>
                <w:sz w:val="20"/>
                <w:szCs w:val="20"/>
                <w:lang w:eastAsia="en-US"/>
              </w:rPr>
              <w:t>Funkcja „wirtualnej maski” pozwalająca m.in. zasłonić miejsce iniekcji aby wykryć blisko zlokalizowane zmiany.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Możliwość zdefiniowania i wyboru protokołu badania.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Możliwość zdefiniowania i wyboru izotopu do badania.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Możliwość zdefiniowania protokołów interwencyjnych.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Możliwość akwizycji obrazów i sekwencji.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Możliwość porównywania obrazów na ekranie aparatu.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Drukowanie obrazów z urządzenia.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Własna przeglądarka obrazów z akwizycji z możliwością edycji obrazów i dodawaniem komentarzy.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eastAsia="F" w:hAnsi="Century Gothic" w:cs="F"/>
                <w:sz w:val="20"/>
                <w:szCs w:val="20"/>
              </w:rPr>
              <w:t xml:space="preserve">Optymalny zakres energii: 50-200 </w:t>
            </w:r>
            <w:proofErr w:type="spellStart"/>
            <w:r w:rsidRPr="00D45774">
              <w:rPr>
                <w:rFonts w:ascii="Century Gothic" w:eastAsia="F" w:hAnsi="Century Gothic" w:cs="F"/>
                <w:sz w:val="20"/>
                <w:szCs w:val="20"/>
              </w:rPr>
              <w:t>keV</w:t>
            </w:r>
            <w:proofErr w:type="spellEnd"/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tabs>
                <w:tab w:val="left" w:pos="2088"/>
              </w:tabs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Możliwość zmiany parametrów obrazowania.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tabs>
                <w:tab w:val="left" w:pos="2088"/>
              </w:tabs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Urządzenie mobilne tzn. z możliwością pracy na kilku salach operacyjnych, na podstawie jezdnej.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tabs>
                <w:tab w:val="left" w:pos="2088"/>
              </w:tabs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System kontroli jakości.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tabs>
                <w:tab w:val="left" w:pos="2088"/>
              </w:tabs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Minimalne wyposażenie urządzenia:- sterylne rękawy do urządzenia – 3 szt.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b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tabs>
                <w:tab w:val="left" w:pos="2088"/>
              </w:tabs>
              <w:rPr>
                <w:rFonts w:ascii="Century Gothic" w:hAnsi="Century Gothic"/>
                <w:b/>
                <w:sz w:val="20"/>
                <w:szCs w:val="20"/>
              </w:rPr>
            </w:pPr>
            <w:r w:rsidRPr="00D45774">
              <w:rPr>
                <w:rFonts w:ascii="Century Gothic" w:hAnsi="Century Gothic"/>
                <w:b/>
                <w:sz w:val="20"/>
                <w:szCs w:val="20"/>
              </w:rPr>
              <w:t>INNE WYMOGI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D45774">
            <w:pPr>
              <w:pStyle w:val="Standard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b/>
                <w:sz w:val="16"/>
                <w:szCs w:val="16"/>
                <w:lang w:eastAsia="pl-PL"/>
              </w:rPr>
            </w:pP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26230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od Wykonawcy wymaga się dostarczenia w dniu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dostawy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wytycznych instalacyjnych/dokumentacji techniczno-ruchowej niezbędnej do zainstalowania i uruchomienia urządzenia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6F067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Wykonawca zobowiązany jest do przygotowania wytycznych, w postaci dokumentacji, niezbędnych do złożenia wniosku do </w:t>
            </w:r>
            <w:r w:rsidRPr="006F067E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 xml:space="preserve">PAA w celu 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uzyskania zezwolenia na stosowanie urządzenia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410525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</w:tbl>
    <w:p w:rsidR="00491879" w:rsidRPr="00D45774" w:rsidRDefault="00491879" w:rsidP="00D45774">
      <w:pPr>
        <w:spacing w:before="100" w:beforeAutospacing="1" w:after="100" w:afterAutospacing="1" w:line="288" w:lineRule="auto"/>
        <w:rPr>
          <w:rFonts w:ascii="Century Gothic" w:hAnsi="Century Gothic"/>
          <w:sz w:val="20"/>
          <w:szCs w:val="20"/>
        </w:rPr>
      </w:pPr>
    </w:p>
    <w:p w:rsidR="00606D25" w:rsidRDefault="00D64B79" w:rsidP="00606D25">
      <w:pPr>
        <w:spacing w:after="0" w:line="288" w:lineRule="auto"/>
        <w:jc w:val="both"/>
        <w:rPr>
          <w:rFonts w:ascii="Century Gothic" w:hAnsi="Century Gothic"/>
          <w:b/>
          <w:color w:val="000000" w:themeColor="text1"/>
          <w:sz w:val="20"/>
          <w:szCs w:val="20"/>
        </w:rPr>
      </w:pPr>
      <w:r>
        <w:rPr>
          <w:rFonts w:ascii="Century Gothic" w:hAnsi="Century Gothic"/>
          <w:b/>
          <w:color w:val="000000" w:themeColor="text1"/>
          <w:sz w:val="20"/>
          <w:szCs w:val="20"/>
        </w:rPr>
        <w:t xml:space="preserve">Warunki gwarancji, </w:t>
      </w:r>
      <w:r w:rsidR="00606D25">
        <w:rPr>
          <w:rFonts w:ascii="Century Gothic" w:hAnsi="Century Gothic"/>
          <w:b/>
          <w:color w:val="000000" w:themeColor="text1"/>
          <w:sz w:val="20"/>
          <w:szCs w:val="20"/>
        </w:rPr>
        <w:t>serwisu</w:t>
      </w:r>
      <w:r>
        <w:rPr>
          <w:rFonts w:ascii="Century Gothic" w:hAnsi="Century Gothic"/>
          <w:b/>
          <w:color w:val="000000" w:themeColor="text1"/>
          <w:sz w:val="20"/>
          <w:szCs w:val="20"/>
        </w:rPr>
        <w:t xml:space="preserve"> i szkolenia</w:t>
      </w:r>
    </w:p>
    <w:p w:rsidR="00606D25" w:rsidRDefault="00606D25" w:rsidP="00606D25">
      <w:pPr>
        <w:spacing w:after="0" w:line="288" w:lineRule="auto"/>
        <w:jc w:val="both"/>
        <w:rPr>
          <w:rFonts w:ascii="Century Gothic" w:hAnsi="Century Gothic"/>
          <w:b/>
          <w:color w:val="000000" w:themeColor="text1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 w:rsidP="00606D25">
            <w:pPr>
              <w:pStyle w:val="Nagwek3"/>
              <w:numPr>
                <w:ilvl w:val="2"/>
                <w:numId w:val="13"/>
              </w:numPr>
              <w:snapToGrid w:val="0"/>
              <w:spacing w:line="276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Cs w:val="20"/>
                <w:lang w:eastAsia="en-US"/>
              </w:rPr>
            </w:pPr>
            <w:r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SPOSÓB OCENY</w:t>
            </w: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D25" w:rsidRDefault="00606D25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lang w:eastAsia="en-US"/>
              </w:rPr>
            </w:pP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D25" w:rsidRDefault="00606D25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Okres pełnej, bez </w:t>
            </w:r>
            <w:proofErr w:type="spellStart"/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wyłączeń</w:t>
            </w:r>
            <w:proofErr w:type="spellEnd"/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:rsidR="00606D25" w:rsidRDefault="00606D25">
            <w:pPr>
              <w:snapToGrid w:val="0"/>
              <w:spacing w:after="0" w:line="240" w:lineRule="auto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:rsidR="00606D25" w:rsidRDefault="00606D25">
            <w:pPr>
              <w:snapToGrid w:val="0"/>
              <w:spacing w:after="0" w:line="240" w:lineRule="auto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:rsidR="00606D25" w:rsidRDefault="00606D25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Calibri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i/>
                <w:iCs/>
                <w:color w:val="000000" w:themeColor="text1"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>
              <w:rPr>
                <w:rFonts w:ascii="Century Gothic" w:hAnsi="Century Gothic"/>
                <w:i/>
                <w:color w:val="000000" w:themeColor="text1"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 w:rsidP="008A7DC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&gt;= </w:t>
            </w:r>
            <w:r w:rsidR="008A7DC9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Najdłuższy okres – 30 pkt.</w:t>
            </w:r>
          </w:p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Inne – proporcjonalnie mniej względem najdłuższego okresu</w:t>
            </w: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Zdalna diagnostyka przez chronione łącze </w:t>
            </w:r>
            <w:r>
              <w:rPr>
                <w:rFonts w:ascii="Century Gothic" w:hAnsi="Century Gothic" w:cs="Tahoma"/>
                <w:color w:val="000000" w:themeColor="text1"/>
                <w:sz w:val="20"/>
                <w:szCs w:val="20"/>
              </w:rPr>
              <w:t>z możliwością rejestracji i odczytu online rejestrów błędów, oraz monitorowaniem systemu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 – 3 pkt.</w:t>
            </w:r>
          </w:p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nie – 0 pkt.</w:t>
            </w: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25" w:rsidRDefault="00606D25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:rsidR="00606D25" w:rsidRDefault="00606D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25" w:rsidRDefault="00606D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25" w:rsidRDefault="00606D25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Czas reakcji (dotyczy także reakcji zdalnej): „przyjęte zgłoszenie – podjęta naprawa” =&lt; 24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25" w:rsidRDefault="00606D25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25" w:rsidRDefault="00606D25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25" w:rsidRDefault="00606D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Zakończenie działań serwisowych – do 3 dni roboczych od dnia zgłoszenia awarii, a w przypadku konieczności importu części zamiennych, nie dłuższym niż 7 dni roboczych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  <w:bookmarkStart w:id="0" w:name="_GoBack"/>
            <w:r w:rsidR="00EA5292" w:rsidRPr="00EA5292">
              <w:rPr>
                <w:rFonts w:ascii="Century Gothic" w:hAnsi="Century Gothic"/>
                <w:color w:val="FF0000"/>
                <w:sz w:val="20"/>
                <w:szCs w:val="20"/>
              </w:rPr>
              <w:t>lub Wykonawca dostarczy instrukcję umożliwiającą co najmniej kontrolę sprawności urządzenia i konserwacji oraz przeprowadzi szkolenie dla Personelu technicznego z wymienionego zakresu</w:t>
            </w:r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 w:rsidP="00530E9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Szkolenia dla personelu  medycznego z zakresu obsługi urządzenia (min. </w:t>
            </w:r>
            <w:r w:rsidR="00530E97">
              <w:rPr>
                <w:rFonts w:ascii="Century Gothic" w:hAnsi="Century Gothic"/>
                <w:sz w:val="20"/>
                <w:szCs w:val="20"/>
              </w:rPr>
              <w:t>16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osób z możliwością podziału i szkolenia w mniejszych podgrupach) w momencie jego instalacji i odbioru; w razie potrzeby Zamawiającego, możliwość stałego wsparcia aplikacyjnego w początkowym (do 6  -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ciu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 w:rsidP="00530E9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Szkolenia dla personelu technicznego (min. </w:t>
            </w:r>
            <w:r w:rsidR="00530E97">
              <w:rPr>
                <w:rFonts w:ascii="Century Gothic" w:hAnsi="Century Gothic"/>
                <w:sz w:val="20"/>
                <w:szCs w:val="20"/>
              </w:rPr>
              <w:t>4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257CA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CA" w:rsidRDefault="006257CA" w:rsidP="00530E9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Szkolenia dla personelu informatycznego umożliwiania zdalnej diagnostyki, wymagań konferencyjnych, wpięcia urządzenia w system gromadzenia dokumentacji medycznej szpitala, diagnostyki i konfiguracji (min. 3 osoby)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CA" w:rsidRDefault="006257CA" w:rsidP="00C71504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 w:rsidP="00C71504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CA" w:rsidRDefault="006257CA" w:rsidP="00C71504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257CA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Liczba i okres szkoleń:</w:t>
            </w:r>
          </w:p>
          <w:p w:rsidR="006257CA" w:rsidRDefault="006257CA" w:rsidP="00606D25">
            <w:pPr>
              <w:numPr>
                <w:ilvl w:val="0"/>
                <w:numId w:val="16"/>
              </w:numPr>
              <w:tabs>
                <w:tab w:val="num" w:pos="36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pierwsze szkolenie - tuż po instalacji systemu, w wymiarze do 2 dni roboczych </w:t>
            </w:r>
          </w:p>
          <w:p w:rsidR="006257CA" w:rsidRDefault="006257CA" w:rsidP="00606D25">
            <w:pPr>
              <w:numPr>
                <w:ilvl w:val="0"/>
                <w:numId w:val="16"/>
              </w:numPr>
              <w:tabs>
                <w:tab w:val="num" w:pos="36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dodatkowe, w razie potrz</w:t>
            </w:r>
            <w:r w:rsidR="000B65AD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eby, w innym terminie ustalonym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z kierownikiem pracowni,</w:t>
            </w:r>
          </w:p>
          <w:p w:rsidR="006257CA" w:rsidRDefault="006257CA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Uwaga – szkolenia dodatkowe dla wszystkich grup w co najmniej takiej samej liczbie osób jak podano w powyższych 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lastRenderedPageBreak/>
              <w:t>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257CA" w:rsidTr="00304466">
        <w:trPr>
          <w:trHeight w:val="29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CA" w:rsidRDefault="006257CA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6257CA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CA" w:rsidRDefault="006257C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entury Gothic" w:eastAsia="Calibri" w:hAnsi="Century Gothic" w:cs="Tahoma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 w:cs="Tahoma"/>
                <w:color w:val="000000" w:themeColor="text1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257CA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CA" w:rsidRDefault="006257CA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257CA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:rsidR="006257CA" w:rsidRDefault="006257CA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257CA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257CA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CA" w:rsidRDefault="006257CA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Instrukcja konserwacji, mycia, dezynfekcji i sterylizacji dla zaoferowanych elementów wraz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257CA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CA" w:rsidRDefault="006257CA">
            <w:pPr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:rsidR="006257CA" w:rsidRDefault="006257CA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Calibri"/>
                <w:i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i/>
                <w:color w:val="000000" w:themeColor="text1"/>
                <w:sz w:val="16"/>
                <w:szCs w:val="16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</w:tbl>
    <w:p w:rsidR="003C5B3C" w:rsidRDefault="003C5B3C" w:rsidP="0021376C">
      <w:pPr>
        <w:spacing w:after="0" w:line="288" w:lineRule="auto"/>
        <w:rPr>
          <w:rFonts w:ascii="Century Gothic" w:hAnsi="Century Gothic"/>
          <w:b/>
          <w:color w:val="000000" w:themeColor="text1"/>
        </w:rPr>
      </w:pPr>
    </w:p>
    <w:sectPr w:rsidR="003C5B3C" w:rsidSect="004D5E87">
      <w:headerReference w:type="default" r:id="rId7"/>
      <w:pgSz w:w="16838" w:h="11906" w:orient="landscape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08F" w:rsidRDefault="0064108F" w:rsidP="006F32E9">
      <w:pPr>
        <w:spacing w:after="0" w:line="240" w:lineRule="auto"/>
      </w:pPr>
      <w:r>
        <w:separator/>
      </w:r>
    </w:p>
  </w:endnote>
  <w:endnote w:type="continuationSeparator" w:id="0">
    <w:p w:rsidR="0064108F" w:rsidRDefault="0064108F" w:rsidP="006F3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, Calibri">
    <w:altName w:val="Arial"/>
    <w:charset w:val="00"/>
    <w:family w:val="swiss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F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08F" w:rsidRDefault="0064108F" w:rsidP="006F32E9">
      <w:pPr>
        <w:spacing w:after="0" w:line="240" w:lineRule="auto"/>
      </w:pPr>
      <w:r>
        <w:separator/>
      </w:r>
    </w:p>
  </w:footnote>
  <w:footnote w:type="continuationSeparator" w:id="0">
    <w:p w:rsidR="0064108F" w:rsidRDefault="0064108F" w:rsidP="006F32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8F3" w:rsidRDefault="004F28F3" w:rsidP="004D5E87">
    <w:pPr>
      <w:tabs>
        <w:tab w:val="center" w:pos="4536"/>
        <w:tab w:val="right" w:pos="14040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kern w:val="3"/>
        <w:sz w:val="20"/>
        <w:szCs w:val="20"/>
        <w:lang w:eastAsia="pl-PL" w:bidi="hi-IN"/>
      </w:rPr>
    </w:pPr>
    <w:r>
      <w:rPr>
        <w:noProof/>
        <w:lang w:eastAsia="pl-PL"/>
      </w:rPr>
      <w:drawing>
        <wp:inline distT="0" distB="0" distL="0" distR="0" wp14:anchorId="5C22A625" wp14:editId="384CC5F0">
          <wp:extent cx="7578137" cy="864000"/>
          <wp:effectExtent l="0" t="0" r="381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137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F28F3" w:rsidRDefault="004F28F3" w:rsidP="004D5E87">
    <w:pPr>
      <w:tabs>
        <w:tab w:val="center" w:pos="4536"/>
        <w:tab w:val="right" w:pos="14040"/>
      </w:tabs>
      <w:spacing w:after="0" w:line="240" w:lineRule="auto"/>
      <w:rPr>
        <w:rFonts w:ascii="Times New Roman" w:eastAsia="Times New Roman" w:hAnsi="Times New Roman" w:cs="Times New Roman"/>
        <w:color w:val="000000"/>
        <w:kern w:val="3"/>
        <w:sz w:val="20"/>
        <w:szCs w:val="20"/>
        <w:lang w:eastAsia="pl-PL" w:bidi="hi-IN"/>
      </w:rPr>
    </w:pPr>
  </w:p>
  <w:p w:rsidR="004F28F3" w:rsidRPr="00ED2FC7" w:rsidRDefault="004F28F3" w:rsidP="004D5E87">
    <w:pPr>
      <w:tabs>
        <w:tab w:val="center" w:pos="4536"/>
        <w:tab w:val="right" w:pos="14040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ED2FC7">
      <w:rPr>
        <w:rFonts w:ascii="Times New Roman" w:eastAsia="Times New Roman" w:hAnsi="Times New Roman" w:cs="Times New Roman"/>
        <w:color w:val="000000"/>
        <w:kern w:val="3"/>
        <w:sz w:val="20"/>
        <w:szCs w:val="20"/>
        <w:lang w:eastAsia="pl-PL" w:bidi="hi-IN"/>
      </w:rPr>
      <w:t>NSSU.DFP.271.</w:t>
    </w:r>
    <w:r>
      <w:rPr>
        <w:rFonts w:ascii="Times New Roman" w:eastAsia="Times New Roman" w:hAnsi="Times New Roman" w:cs="Times New Roman"/>
        <w:color w:val="000000"/>
        <w:kern w:val="3"/>
        <w:sz w:val="20"/>
        <w:szCs w:val="20"/>
        <w:lang w:eastAsia="pl-PL" w:bidi="hi-IN"/>
      </w:rPr>
      <w:t>5.2018.AB</w:t>
    </w:r>
    <w:r w:rsidRPr="00ED2FC7">
      <w:rPr>
        <w:rFonts w:ascii="Times New Roman" w:eastAsia="Times New Roman" w:hAnsi="Times New Roman" w:cs="Times New Roman"/>
        <w:sz w:val="20"/>
        <w:szCs w:val="20"/>
        <w:lang w:eastAsia="pl-PL"/>
      </w:rPr>
      <w:tab/>
    </w:r>
    <w:r w:rsidRPr="00ED2FC7">
      <w:rPr>
        <w:rFonts w:ascii="Times New Roman" w:eastAsia="Times New Roman" w:hAnsi="Times New Roman" w:cs="Times New Roman"/>
        <w:sz w:val="20"/>
        <w:szCs w:val="20"/>
        <w:lang w:eastAsia="pl-PL"/>
      </w:rPr>
      <w:tab/>
      <w:t>Załącznik nr 1a do specyfikacji</w:t>
    </w:r>
  </w:p>
  <w:p w:rsidR="004F28F3" w:rsidRPr="00ED2FC7" w:rsidRDefault="004F28F3" w:rsidP="004D5E87">
    <w:pPr>
      <w:tabs>
        <w:tab w:val="center" w:pos="4536"/>
        <w:tab w:val="right" w:pos="14040"/>
      </w:tabs>
      <w:spacing w:after="0" w:line="240" w:lineRule="auto"/>
      <w:jc w:val="right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ED2FC7">
      <w:rPr>
        <w:rFonts w:ascii="Times New Roman" w:eastAsia="Times New Roman" w:hAnsi="Times New Roman" w:cs="Times New Roman"/>
        <w:sz w:val="20"/>
        <w:szCs w:val="20"/>
        <w:lang w:eastAsia="pl-PL"/>
      </w:rPr>
      <w:t>Załącznik nr …… do umowy</w:t>
    </w:r>
  </w:p>
  <w:p w:rsidR="004F28F3" w:rsidRDefault="004F28F3" w:rsidP="004D5E8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2" w15:restartNumberingAfterBreak="0">
    <w:nsid w:val="0240705D"/>
    <w:multiLevelType w:val="hybridMultilevel"/>
    <w:tmpl w:val="D23614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pStyle w:val="Nagwek3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F11EF"/>
    <w:multiLevelType w:val="hybridMultilevel"/>
    <w:tmpl w:val="BE100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751F7"/>
    <w:multiLevelType w:val="hybridMultilevel"/>
    <w:tmpl w:val="BE100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F4FC0"/>
    <w:multiLevelType w:val="hybridMultilevel"/>
    <w:tmpl w:val="BE100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14317E"/>
    <w:multiLevelType w:val="hybridMultilevel"/>
    <w:tmpl w:val="BEA2BF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9" w15:restartNumberingAfterBreak="0">
    <w:nsid w:val="603C1D45"/>
    <w:multiLevelType w:val="hybridMultilevel"/>
    <w:tmpl w:val="BE100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495F35"/>
    <w:multiLevelType w:val="hybridMultilevel"/>
    <w:tmpl w:val="BE100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AC2C83"/>
    <w:multiLevelType w:val="hybridMultilevel"/>
    <w:tmpl w:val="BE100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C720D9"/>
    <w:multiLevelType w:val="hybridMultilevel"/>
    <w:tmpl w:val="BE100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CC3F65"/>
    <w:multiLevelType w:val="hybridMultilevel"/>
    <w:tmpl w:val="BE100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9"/>
  </w:num>
  <w:num w:numId="5">
    <w:abstractNumId w:val="6"/>
  </w:num>
  <w:num w:numId="6">
    <w:abstractNumId w:val="4"/>
  </w:num>
  <w:num w:numId="7">
    <w:abstractNumId w:val="5"/>
  </w:num>
  <w:num w:numId="8">
    <w:abstractNumId w:val="13"/>
  </w:num>
  <w:num w:numId="9">
    <w:abstractNumId w:val="7"/>
  </w:num>
  <w:num w:numId="10">
    <w:abstractNumId w:val="8"/>
  </w:num>
  <w:num w:numId="11">
    <w:abstractNumId w:val="8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480"/>
    <w:rsid w:val="00012902"/>
    <w:rsid w:val="00047F23"/>
    <w:rsid w:val="00094117"/>
    <w:rsid w:val="000B65AD"/>
    <w:rsid w:val="000E5CBB"/>
    <w:rsid w:val="00194BF4"/>
    <w:rsid w:val="001B6354"/>
    <w:rsid w:val="001D7F3E"/>
    <w:rsid w:val="002041ED"/>
    <w:rsid w:val="0021376C"/>
    <w:rsid w:val="00262308"/>
    <w:rsid w:val="002D0C26"/>
    <w:rsid w:val="002D6ED2"/>
    <w:rsid w:val="00304466"/>
    <w:rsid w:val="00386BDE"/>
    <w:rsid w:val="003965CC"/>
    <w:rsid w:val="003C5B3C"/>
    <w:rsid w:val="003E0A53"/>
    <w:rsid w:val="00410525"/>
    <w:rsid w:val="00437B07"/>
    <w:rsid w:val="00491879"/>
    <w:rsid w:val="004D5E87"/>
    <w:rsid w:val="004F28F3"/>
    <w:rsid w:val="004F74B9"/>
    <w:rsid w:val="005035AB"/>
    <w:rsid w:val="00530E97"/>
    <w:rsid w:val="0057493A"/>
    <w:rsid w:val="005C37E5"/>
    <w:rsid w:val="005E16E7"/>
    <w:rsid w:val="005E4ECB"/>
    <w:rsid w:val="00606D25"/>
    <w:rsid w:val="0061305A"/>
    <w:rsid w:val="0061687A"/>
    <w:rsid w:val="006257CA"/>
    <w:rsid w:val="0064108F"/>
    <w:rsid w:val="006A1E8D"/>
    <w:rsid w:val="006E745E"/>
    <w:rsid w:val="006F067E"/>
    <w:rsid w:val="006F32E9"/>
    <w:rsid w:val="00702B1E"/>
    <w:rsid w:val="007B2508"/>
    <w:rsid w:val="007B316C"/>
    <w:rsid w:val="007C7746"/>
    <w:rsid w:val="007F70EC"/>
    <w:rsid w:val="00807949"/>
    <w:rsid w:val="00815DCF"/>
    <w:rsid w:val="00853812"/>
    <w:rsid w:val="008A2B11"/>
    <w:rsid w:val="008A7DC9"/>
    <w:rsid w:val="008D6FB9"/>
    <w:rsid w:val="008F2BBB"/>
    <w:rsid w:val="00951104"/>
    <w:rsid w:val="00954021"/>
    <w:rsid w:val="00977765"/>
    <w:rsid w:val="009A633E"/>
    <w:rsid w:val="00AD3302"/>
    <w:rsid w:val="00B01F86"/>
    <w:rsid w:val="00B12F70"/>
    <w:rsid w:val="00B21FC4"/>
    <w:rsid w:val="00C03C64"/>
    <w:rsid w:val="00C36480"/>
    <w:rsid w:val="00C71504"/>
    <w:rsid w:val="00D45774"/>
    <w:rsid w:val="00D64B79"/>
    <w:rsid w:val="00E03590"/>
    <w:rsid w:val="00E12945"/>
    <w:rsid w:val="00E75603"/>
    <w:rsid w:val="00EA5292"/>
    <w:rsid w:val="00EF3932"/>
    <w:rsid w:val="00EF6C8C"/>
    <w:rsid w:val="00F13F05"/>
    <w:rsid w:val="00F80E67"/>
    <w:rsid w:val="00FB7A81"/>
    <w:rsid w:val="00FD2756"/>
    <w:rsid w:val="00FE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40F0156-F9FC-4B11-9615-7D67A6152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606D25"/>
    <w:pPr>
      <w:keepNext/>
      <w:widowControl w:val="0"/>
      <w:shd w:val="clear" w:color="auto" w:fill="FFFFFF"/>
      <w:tabs>
        <w:tab w:val="num" w:pos="0"/>
      </w:tabs>
      <w:suppressAutoHyphens/>
      <w:spacing w:after="0" w:line="240" w:lineRule="auto"/>
      <w:ind w:left="5"/>
      <w:outlineLvl w:val="0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06D25"/>
    <w:pPr>
      <w:keepNext/>
      <w:widowControl w:val="0"/>
      <w:shd w:val="clear" w:color="auto" w:fill="FFFFFF"/>
      <w:tabs>
        <w:tab w:val="num" w:pos="0"/>
      </w:tabs>
      <w:suppressAutoHyphens/>
      <w:spacing w:after="0" w:line="240" w:lineRule="auto"/>
      <w:ind w:left="10"/>
      <w:outlineLvl w:val="1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3C5B3C"/>
    <w:pPr>
      <w:keepNext/>
      <w:numPr>
        <w:ilvl w:val="2"/>
        <w:numId w:val="12"/>
      </w:numPr>
      <w:suppressAutoHyphens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18"/>
      <w:lang w:eastAsia="ar-SA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606D25"/>
    <w:pPr>
      <w:keepNext/>
      <w:widowControl w:val="0"/>
      <w:tabs>
        <w:tab w:val="num" w:pos="0"/>
      </w:tabs>
      <w:suppressAutoHyphens/>
      <w:spacing w:after="0" w:line="240" w:lineRule="auto"/>
      <w:ind w:left="864" w:hanging="864"/>
      <w:jc w:val="center"/>
      <w:outlineLvl w:val="3"/>
    </w:pPr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606D25"/>
    <w:pPr>
      <w:keepNext/>
      <w:widowControl w:val="0"/>
      <w:shd w:val="clear" w:color="auto" w:fill="FFFFFF"/>
      <w:tabs>
        <w:tab w:val="num" w:pos="0"/>
      </w:tabs>
      <w:suppressAutoHyphens/>
      <w:spacing w:after="0" w:line="240" w:lineRule="auto"/>
      <w:ind w:right="14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9187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Default">
    <w:name w:val="Default"/>
    <w:basedOn w:val="Standard"/>
    <w:rsid w:val="00491879"/>
    <w:pPr>
      <w:autoSpaceDE w:val="0"/>
    </w:pPr>
    <w:rPr>
      <w:rFonts w:ascii="Calibri, Calibri" w:eastAsia="Calibri, Calibri" w:hAnsi="Calibri, Calibri" w:cs="Calibri, Calibri"/>
      <w:color w:val="000000"/>
    </w:rPr>
  </w:style>
  <w:style w:type="table" w:styleId="Tabela-Siatka">
    <w:name w:val="Table Grid"/>
    <w:basedOn w:val="Standardowy"/>
    <w:uiPriority w:val="59"/>
    <w:rsid w:val="0049187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491879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91879"/>
    <w:rPr>
      <w:rFonts w:ascii="Times New Roman" w:eastAsia="Times New Roman" w:hAnsi="Times New Roman" w:cs="Times New Roman"/>
      <w:szCs w:val="20"/>
      <w:lang w:eastAsia="pl-PL"/>
    </w:rPr>
  </w:style>
  <w:style w:type="paragraph" w:styleId="Bezodstpw">
    <w:name w:val="No Spacing"/>
    <w:uiPriority w:val="1"/>
    <w:qFormat/>
    <w:rsid w:val="0049187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91879"/>
    <w:pPr>
      <w:spacing w:after="0" w:line="36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Standard"/>
    <w:next w:val="Podtytu"/>
    <w:link w:val="TytuZnak"/>
    <w:qFormat/>
    <w:rsid w:val="003C5B3C"/>
    <w:pPr>
      <w:widowControl/>
      <w:jc w:val="center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3C5B3C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3C5B3C"/>
    <w:pPr>
      <w:numPr>
        <w:numId w:val="10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3C5B3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3C5B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3C5B3C"/>
    <w:rPr>
      <w:rFonts w:ascii="Comic Sans MS" w:eastAsia="Times New Roman" w:hAnsi="Comic Sans MS" w:cs="Times New Roman"/>
      <w:b/>
      <w:bCs/>
      <w:sz w:val="18"/>
      <w:lang w:eastAsia="ar-SA"/>
    </w:rPr>
  </w:style>
  <w:style w:type="paragraph" w:styleId="Lista-kontynuacja2">
    <w:name w:val="List Continue 2"/>
    <w:basedOn w:val="Lista-kontynuacja"/>
    <w:unhideWhenUsed/>
    <w:rsid w:val="003C5B3C"/>
    <w:pPr>
      <w:spacing w:after="160" w:line="240" w:lineRule="auto"/>
      <w:ind w:left="1080" w:hanging="360"/>
      <w:contextualSpacing w:val="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bsatzTableFormat">
    <w:name w:val="AbsatzTableFormat"/>
    <w:basedOn w:val="Normalny"/>
    <w:autoRedefine/>
    <w:rsid w:val="003C5B3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Lista-kontynuacja24">
    <w:name w:val="Lista - kontynuacja 24"/>
    <w:basedOn w:val="Normalny"/>
    <w:rsid w:val="003C5B3C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Lista-kontynuacja">
    <w:name w:val="List Continue"/>
    <w:basedOn w:val="Normalny"/>
    <w:uiPriority w:val="99"/>
    <w:semiHidden/>
    <w:unhideWhenUsed/>
    <w:rsid w:val="003C5B3C"/>
    <w:pPr>
      <w:spacing w:after="120"/>
      <w:ind w:left="283"/>
      <w:contextualSpacing/>
    </w:pPr>
  </w:style>
  <w:style w:type="character" w:customStyle="1" w:styleId="Nagwek1Znak">
    <w:name w:val="Nagłówek 1 Znak"/>
    <w:basedOn w:val="Domylnaczcionkaakapitu"/>
    <w:link w:val="Nagwek1"/>
    <w:rsid w:val="00606D25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606D25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606D25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606D25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606D2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6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635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F32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32E9"/>
  </w:style>
  <w:style w:type="paragraph" w:styleId="Stopka">
    <w:name w:val="footer"/>
    <w:basedOn w:val="Normalny"/>
    <w:link w:val="StopkaZnak"/>
    <w:uiPriority w:val="99"/>
    <w:unhideWhenUsed/>
    <w:rsid w:val="006F32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32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0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2815</Words>
  <Characters>16896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Anna Bęben</cp:lastModifiedBy>
  <cp:revision>5</cp:revision>
  <cp:lastPrinted>2018-01-25T07:38:00Z</cp:lastPrinted>
  <dcterms:created xsi:type="dcterms:W3CDTF">2018-02-28T08:31:00Z</dcterms:created>
  <dcterms:modified xsi:type="dcterms:W3CDTF">2018-02-28T10:57:00Z</dcterms:modified>
</cp:coreProperties>
</file>