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0B2B0" w14:textId="77777777" w:rsidR="001F330F" w:rsidRDefault="001F330F" w:rsidP="001F330F">
      <w:pPr>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Część 4</w:t>
      </w:r>
      <w:r w:rsidR="006F3D54">
        <w:rPr>
          <w:rFonts w:ascii="Century Gothic" w:hAnsi="Century Gothic" w:cs="Times New Roman"/>
          <w:b/>
          <w:color w:val="000000" w:themeColor="text1"/>
          <w:sz w:val="18"/>
          <w:szCs w:val="18"/>
        </w:rPr>
        <w:t>.</w:t>
      </w:r>
    </w:p>
    <w:p w14:paraId="0F03F6A9"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261A7A60"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60D58B91" w14:textId="4A8C1D17" w:rsidR="008A7CF8" w:rsidRDefault="001F330F" w:rsidP="006D58D0">
      <w:pPr>
        <w:tabs>
          <w:tab w:val="center" w:pos="7002"/>
          <w:tab w:val="left" w:pos="11430"/>
        </w:tabs>
        <w:spacing w:before="100" w:beforeAutospacing="1" w:after="100" w:afterAutospacing="1" w:line="288" w:lineRule="auto"/>
        <w:ind w:left="3828" w:firstLine="1701"/>
        <w:rPr>
          <w:rFonts w:ascii="Century Gothic" w:hAnsi="Century Gothic" w:cs="Times New Roman"/>
          <w:b/>
          <w:sz w:val="18"/>
          <w:szCs w:val="18"/>
        </w:rPr>
      </w:pPr>
      <w:r>
        <w:rPr>
          <w:rFonts w:ascii="Century Gothic" w:hAnsi="Century Gothic" w:cs="Times New Roman"/>
          <w:b/>
          <w:sz w:val="18"/>
          <w:szCs w:val="18"/>
        </w:rPr>
        <w:t xml:space="preserve">             Kolposkop </w:t>
      </w:r>
      <w:r w:rsidRPr="00814F28">
        <w:rPr>
          <w:rFonts w:ascii="Century Gothic" w:hAnsi="Century Gothic" w:cs="Times New Roman"/>
          <w:b/>
          <w:sz w:val="18"/>
          <w:szCs w:val="18"/>
        </w:rPr>
        <w:t>–</w:t>
      </w:r>
      <w:r>
        <w:rPr>
          <w:rFonts w:ascii="Century Gothic" w:hAnsi="Century Gothic" w:cs="Times New Roman"/>
          <w:b/>
          <w:sz w:val="18"/>
          <w:szCs w:val="18"/>
        </w:rPr>
        <w:t xml:space="preserve"> </w:t>
      </w:r>
      <w:r w:rsidR="006D58D0">
        <w:rPr>
          <w:rFonts w:ascii="Century Gothic" w:hAnsi="Century Gothic" w:cs="Times New Roman"/>
          <w:b/>
          <w:sz w:val="18"/>
          <w:szCs w:val="18"/>
        </w:rPr>
        <w:t>2</w:t>
      </w:r>
      <w:r w:rsidRPr="00814F28">
        <w:rPr>
          <w:rFonts w:ascii="Century Gothic" w:hAnsi="Century Gothic" w:cs="Times New Roman"/>
          <w:b/>
          <w:sz w:val="18"/>
          <w:szCs w:val="18"/>
        </w:rPr>
        <w:t xml:space="preserve"> szt.</w:t>
      </w:r>
      <w:r>
        <w:rPr>
          <w:rFonts w:ascii="Century Gothic" w:hAnsi="Century Gothic" w:cs="Times New Roman"/>
          <w:b/>
          <w:sz w:val="18"/>
          <w:szCs w:val="18"/>
        </w:rPr>
        <w:t xml:space="preserve">                                                                                                                                                                                                                                        </w:t>
      </w:r>
      <w:bookmarkStart w:id="0" w:name="_GoBack"/>
      <w:bookmarkEnd w:id="0"/>
    </w:p>
    <w:p w14:paraId="7B581995"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5F18FD8C"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DA5625"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6D58D0">
              <w:rPr>
                <w:rFonts w:ascii="Century Gothic" w:hAnsi="Century Gothic" w:cs="Times New Roman"/>
                <w:b/>
                <w:sz w:val="18"/>
                <w:szCs w:val="18"/>
              </w:rPr>
              <w:t xml:space="preserve">             Kolposkop</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C27D4BC"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0EAA2321"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C3C81D"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5DE0DBB9"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165A2439" w14:textId="2D5C9B68"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 xml:space="preserve">Cena jednostkowa brutto </w:t>
            </w:r>
            <w:r w:rsidR="000D7E99" w:rsidRPr="000D7E99">
              <w:rPr>
                <w:rFonts w:ascii="Century Gothic" w:eastAsia="Times New Roman" w:hAnsi="Century Gothic" w:cs="Times New Roman"/>
                <w:bCs/>
                <w:sz w:val="18"/>
                <w:szCs w:val="18"/>
              </w:rPr>
              <w:t xml:space="preserve">wraz z dostawą </w:t>
            </w:r>
            <w:r w:rsidRPr="00FE19DB">
              <w:rPr>
                <w:rFonts w:ascii="Century Gothic" w:eastAsia="Times New Roman" w:hAnsi="Century Gothic" w:cs="Times New Roman"/>
                <w:bCs/>
                <w:sz w:val="18"/>
                <w:szCs w:val="18"/>
              </w:rPr>
              <w:t>(zł):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1B2C5449"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729D4328"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30125BB7"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4B555432" w14:textId="77777777" w:rsidR="008A7CF8" w:rsidRPr="00FE19DB" w:rsidRDefault="006D58D0"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2</w:t>
            </w:r>
          </w:p>
        </w:tc>
        <w:tc>
          <w:tcPr>
            <w:tcW w:w="3379" w:type="dxa"/>
            <w:tcBorders>
              <w:top w:val="nil"/>
              <w:left w:val="single" w:sz="8" w:space="0" w:color="auto"/>
              <w:bottom w:val="single" w:sz="8" w:space="0" w:color="auto"/>
              <w:right w:val="single" w:sz="8" w:space="0" w:color="auto"/>
            </w:tcBorders>
            <w:vAlign w:val="center"/>
          </w:tcPr>
          <w:p w14:paraId="238BDE67"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47DFDFE6"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51DDBAF0"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626561C"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7C23E52"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7196B295"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595949"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8C32606"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2EF31669"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4DE874"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0DB7A63"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3EAF8A18" w14:textId="77777777" w:rsidR="001F330F" w:rsidRPr="00814F28" w:rsidRDefault="001F330F" w:rsidP="008A7CF8">
      <w:pPr>
        <w:tabs>
          <w:tab w:val="center" w:pos="7002"/>
          <w:tab w:val="left" w:pos="11430"/>
        </w:tabs>
        <w:spacing w:after="0" w:line="288" w:lineRule="auto"/>
        <w:rPr>
          <w:rFonts w:ascii="Century Gothic" w:hAnsi="Century Gothic" w:cs="Times New Roman"/>
          <w:b/>
          <w:sz w:val="18"/>
          <w:szCs w:val="18"/>
        </w:rPr>
      </w:pPr>
      <w:r w:rsidRPr="00814F28">
        <w:rPr>
          <w:rFonts w:ascii="Century Gothic" w:hAnsi="Century Gothic" w:cs="Times New Roman"/>
          <w:b/>
          <w:sz w:val="18"/>
          <w:szCs w:val="18"/>
        </w:rPr>
        <w:tab/>
      </w:r>
    </w:p>
    <w:p w14:paraId="6F518D4A" w14:textId="77777777" w:rsidR="001F330F" w:rsidRDefault="001F330F" w:rsidP="008A7CF8">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26A6302B" w14:textId="77777777" w:rsidR="001F330F" w:rsidRDefault="001F330F" w:rsidP="001F330F">
      <w:pPr>
        <w:pStyle w:val="Standard"/>
        <w:spacing w:line="288" w:lineRule="auto"/>
        <w:rPr>
          <w:rFonts w:ascii="Century Gothic" w:hAnsi="Century Gothic" w:cs="Times New Roman"/>
          <w:sz w:val="18"/>
          <w:szCs w:val="18"/>
        </w:rPr>
      </w:pPr>
    </w:p>
    <w:p w14:paraId="5092A4D5"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24CA5699"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0168EF8C"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31BA77AC"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598DC299"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2E6F4701" w14:textId="77777777" w:rsidR="001F330F" w:rsidRDefault="001F330F" w:rsidP="001F330F">
      <w:pPr>
        <w:pStyle w:val="Standard"/>
        <w:spacing w:line="288" w:lineRule="auto"/>
        <w:rPr>
          <w:rFonts w:ascii="Century Gothic" w:hAnsi="Century Gothic" w:cs="Times New Roman"/>
          <w:sz w:val="18"/>
          <w:szCs w:val="18"/>
        </w:rPr>
      </w:pPr>
    </w:p>
    <w:p w14:paraId="7E03C43B"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718C0796" w14:textId="77777777" w:rsidR="001F330F" w:rsidRDefault="001F330F" w:rsidP="001F330F">
      <w:pPr>
        <w:pStyle w:val="Standard"/>
        <w:spacing w:line="288" w:lineRule="auto"/>
        <w:rPr>
          <w:rFonts w:ascii="Century Gothic" w:hAnsi="Century Gothic" w:cs="Times New Roman"/>
          <w:sz w:val="18"/>
          <w:szCs w:val="18"/>
        </w:rPr>
      </w:pPr>
    </w:p>
    <w:p w14:paraId="240C04F2"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7C2690B3" w14:textId="77777777" w:rsidR="001F330F" w:rsidRDefault="001F330F" w:rsidP="001F330F">
      <w:pPr>
        <w:pStyle w:val="Standard"/>
        <w:spacing w:line="288" w:lineRule="auto"/>
        <w:rPr>
          <w:rFonts w:ascii="Century Gothic" w:hAnsi="Century Gothic" w:cs="Times New Roman"/>
          <w:sz w:val="18"/>
          <w:szCs w:val="18"/>
        </w:rPr>
      </w:pPr>
    </w:p>
    <w:p w14:paraId="6E8A2C98"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45DDAFF1" w14:textId="77777777" w:rsidR="001F330F" w:rsidRDefault="001F330F" w:rsidP="001F330F">
      <w:pPr>
        <w:pStyle w:val="Standard"/>
        <w:spacing w:line="288" w:lineRule="auto"/>
        <w:rPr>
          <w:rFonts w:ascii="Century Gothic" w:hAnsi="Century Gothic" w:cs="Times New Roman"/>
          <w:sz w:val="18"/>
          <w:szCs w:val="18"/>
        </w:rPr>
      </w:pPr>
    </w:p>
    <w:p w14:paraId="64B3799B"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544D0CF8" w14:textId="77777777" w:rsidR="001F330F" w:rsidRPr="00814F28" w:rsidRDefault="001F330F" w:rsidP="001F330F">
      <w:pPr>
        <w:pStyle w:val="Standard"/>
        <w:spacing w:line="288" w:lineRule="auto"/>
        <w:rPr>
          <w:rFonts w:ascii="Century Gothic" w:hAnsi="Century Gothic" w:cs="Times New Roman"/>
          <w:b/>
          <w:bCs/>
          <w:sz w:val="18"/>
          <w:szCs w:val="18"/>
        </w:rPr>
      </w:pPr>
    </w:p>
    <w:p w14:paraId="2AF761E2"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6F72E222"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1B8E3462" w14:textId="77777777" w:rsidTr="00F04A70">
        <w:tc>
          <w:tcPr>
            <w:tcW w:w="709" w:type="dxa"/>
            <w:vAlign w:val="center"/>
          </w:tcPr>
          <w:p w14:paraId="255A13AF"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0BB1F89E"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459B8949"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7AEE7EB9"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2A806ACE"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6175462A"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97C5B62"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1.</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2CA98E3" w14:textId="77777777" w:rsidR="001F330F" w:rsidRPr="00814F28" w:rsidRDefault="001F330F" w:rsidP="00F04A70">
            <w:pPr>
              <w:spacing w:after="0"/>
              <w:rPr>
                <w:rFonts w:ascii="Century Gothic" w:hAnsi="Century Gothic" w:cs="Times New Roman"/>
                <w:color w:val="000000"/>
                <w:sz w:val="18"/>
                <w:szCs w:val="18"/>
              </w:rPr>
            </w:pPr>
            <w:r w:rsidRPr="0003195D">
              <w:rPr>
                <w:rFonts w:ascii="Century Gothic" w:hAnsi="Century Gothic" w:cs="Times New Roman"/>
                <w:color w:val="000000"/>
                <w:sz w:val="18"/>
                <w:szCs w:val="18"/>
              </w:rPr>
              <w:t>Urządzenie do wziernikowania pochwy</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15837F2"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06725F2"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0275F06"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2EF06DF5"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B11A30E"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2.</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EA93C36" w14:textId="77777777" w:rsidR="001F330F" w:rsidRPr="00814F28" w:rsidRDefault="00FE7517" w:rsidP="00F04A70">
            <w:pPr>
              <w:spacing w:after="0"/>
              <w:rPr>
                <w:rFonts w:ascii="Century Gothic" w:hAnsi="Century Gothic" w:cs="Times New Roman"/>
                <w:color w:val="000000"/>
                <w:sz w:val="18"/>
                <w:szCs w:val="18"/>
              </w:rPr>
            </w:pPr>
            <w:r>
              <w:rPr>
                <w:rFonts w:ascii="Century Gothic" w:hAnsi="Century Gothic" w:cs="Times New Roman"/>
                <w:color w:val="000000"/>
                <w:sz w:val="18"/>
                <w:szCs w:val="18"/>
              </w:rPr>
              <w:t>Powiększenie min. 3</w:t>
            </w:r>
            <w:r w:rsidR="001F330F" w:rsidRPr="0003195D">
              <w:rPr>
                <w:rFonts w:ascii="Century Gothic" w:hAnsi="Century Gothic" w:cs="Times New Roman"/>
                <w:color w:val="000000"/>
                <w:sz w:val="18"/>
                <w:szCs w:val="18"/>
              </w:rPr>
              <w:t>- stopniowe</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D779B4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8D3E26"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5961098" w14:textId="77777777" w:rsidR="00FE7517" w:rsidRDefault="00FE7517" w:rsidP="00FE7517">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79077A6C" w14:textId="77777777" w:rsidR="001F330F" w:rsidRPr="00814F28" w:rsidRDefault="00FE7517" w:rsidP="00FE7517">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4 pkt.</w:t>
            </w:r>
          </w:p>
        </w:tc>
      </w:tr>
      <w:tr w:rsidR="001F330F" w:rsidRPr="00814F28" w14:paraId="74703F3A"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8B7190F"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 xml:space="preserve">  3.</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349321D" w14:textId="77777777" w:rsidR="001F330F" w:rsidRPr="00262B41" w:rsidRDefault="001F330F" w:rsidP="00F04A70">
            <w:pPr>
              <w:spacing w:after="0"/>
              <w:rPr>
                <w:rFonts w:ascii="Century Gothic" w:hAnsi="Century Gothic"/>
                <w:sz w:val="18"/>
                <w:szCs w:val="18"/>
              </w:rPr>
            </w:pPr>
            <w:r w:rsidRPr="0003195D">
              <w:rPr>
                <w:rFonts w:ascii="Century Gothic" w:hAnsi="Century Gothic"/>
                <w:sz w:val="18"/>
                <w:szCs w:val="18"/>
              </w:rPr>
              <w:t>Regulacja ogniskowej / regulacja głębi ostrości</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A1437F6"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4B39F66"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9F7046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E37494F"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1136782D"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4.</w:t>
            </w: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vAlign w:val="bottom"/>
          </w:tcPr>
          <w:p w14:paraId="71AD2399" w14:textId="77777777" w:rsidR="001F330F" w:rsidRPr="00814F28" w:rsidRDefault="00FE7517" w:rsidP="00F04A70">
            <w:pPr>
              <w:spacing w:after="0"/>
              <w:rPr>
                <w:rFonts w:ascii="Century Gothic" w:hAnsi="Century Gothic" w:cs="Times New Roman"/>
                <w:color w:val="000000"/>
                <w:sz w:val="18"/>
                <w:szCs w:val="18"/>
              </w:rPr>
            </w:pPr>
            <w:r>
              <w:rPr>
                <w:rFonts w:ascii="Century Gothic" w:hAnsi="Century Gothic" w:cs="Times New Roman"/>
                <w:color w:val="000000"/>
                <w:sz w:val="18"/>
                <w:szCs w:val="18"/>
              </w:rPr>
              <w:t>B</w:t>
            </w:r>
            <w:r w:rsidRPr="00FE7517">
              <w:rPr>
                <w:rFonts w:ascii="Century Gothic" w:hAnsi="Century Gothic" w:cs="Times New Roman"/>
                <w:color w:val="000000"/>
                <w:sz w:val="18"/>
                <w:szCs w:val="18"/>
              </w:rPr>
              <w:t xml:space="preserve">inokular uchylny </w:t>
            </w:r>
            <w:r>
              <w:rPr>
                <w:rFonts w:ascii="Century Gothic" w:hAnsi="Century Gothic" w:cs="Times New Roman"/>
                <w:color w:val="000000"/>
                <w:sz w:val="18"/>
                <w:szCs w:val="18"/>
              </w:rPr>
              <w:t xml:space="preserve">min. </w:t>
            </w:r>
            <w:r w:rsidRPr="00FE7517">
              <w:rPr>
                <w:rFonts w:ascii="Century Gothic" w:hAnsi="Century Gothic" w:cs="Times New Roman"/>
                <w:color w:val="000000"/>
                <w:sz w:val="18"/>
                <w:szCs w:val="18"/>
              </w:rPr>
              <w:t>0-180 stopni</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A3B88D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8FD5514"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9B5CA37" w14:textId="77777777" w:rsidR="00FE7517" w:rsidRDefault="00FE7517" w:rsidP="00FE7517">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3E1B73D3" w14:textId="77777777" w:rsidR="001F330F" w:rsidRPr="00814F28" w:rsidRDefault="00FE7517" w:rsidP="00FE7517">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2 pkt.</w:t>
            </w:r>
          </w:p>
        </w:tc>
      </w:tr>
      <w:tr w:rsidR="001F330F" w:rsidRPr="00814F28" w14:paraId="02E2EFCA"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A042580"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5.</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C1F9C7B" w14:textId="77777777" w:rsidR="001F330F" w:rsidRPr="00814F28" w:rsidRDefault="001F330F" w:rsidP="00F04A70">
            <w:pPr>
              <w:spacing w:after="0"/>
              <w:rPr>
                <w:rFonts w:ascii="Century Gothic" w:hAnsi="Century Gothic" w:cs="Times New Roman"/>
                <w:color w:val="000000"/>
                <w:sz w:val="18"/>
                <w:szCs w:val="18"/>
              </w:rPr>
            </w:pPr>
            <w:r w:rsidRPr="0003195D">
              <w:rPr>
                <w:rFonts w:ascii="Century Gothic" w:hAnsi="Century Gothic" w:cs="Times New Roman"/>
                <w:color w:val="000000"/>
                <w:sz w:val="18"/>
                <w:szCs w:val="18"/>
              </w:rPr>
              <w:t>Konstrukcja jezdna wyposażona w głowicę na składanym ramieniu oraz monitor z regulacją wysokości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C2F3A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9090BE8"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1A8166"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2BBEE202"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715C1AB"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6.</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8B39A2E" w14:textId="77777777" w:rsidR="001F330F" w:rsidRPr="00814F28" w:rsidRDefault="00FE7517" w:rsidP="00FE7517">
            <w:pPr>
              <w:spacing w:after="0"/>
              <w:rPr>
                <w:rFonts w:ascii="Century Gothic" w:hAnsi="Century Gothic" w:cs="Times New Roman"/>
                <w:color w:val="000000"/>
                <w:sz w:val="18"/>
                <w:szCs w:val="18"/>
              </w:rPr>
            </w:pPr>
            <w:r>
              <w:rPr>
                <w:rFonts w:ascii="Century Gothic" w:hAnsi="Century Gothic" w:cs="Times New Roman"/>
                <w:color w:val="000000"/>
                <w:sz w:val="18"/>
                <w:szCs w:val="18"/>
              </w:rPr>
              <w:t>Zakres pola widzenia min. 10</w:t>
            </w:r>
            <w:r w:rsidR="001F330F" w:rsidRPr="0003195D">
              <w:rPr>
                <w:rFonts w:ascii="Century Gothic" w:hAnsi="Century Gothic" w:cs="Times New Roman"/>
                <w:color w:val="000000"/>
                <w:sz w:val="18"/>
                <w:szCs w:val="18"/>
              </w:rPr>
              <w:t xml:space="preserve"> </w:t>
            </w:r>
            <w:r>
              <w:rPr>
                <w:rFonts w:ascii="Century Gothic" w:hAnsi="Century Gothic" w:cs="Times New Roman"/>
                <w:color w:val="000000"/>
                <w:sz w:val="18"/>
                <w:szCs w:val="18"/>
              </w:rPr>
              <w:t>-</w:t>
            </w:r>
            <w:r w:rsidR="001F330F" w:rsidRPr="0003195D">
              <w:rPr>
                <w:rFonts w:ascii="Century Gothic" w:hAnsi="Century Gothic" w:cs="Times New Roman"/>
                <w:color w:val="000000"/>
                <w:sz w:val="18"/>
                <w:szCs w:val="18"/>
              </w:rPr>
              <w:t xml:space="preserve"> 130 mm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2EDE7C"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A19F39F"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0A3D38F" w14:textId="77777777" w:rsidR="00FE7517" w:rsidRDefault="00FE7517" w:rsidP="00FE7517">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67F7E2A6" w14:textId="77777777" w:rsidR="001F330F" w:rsidRPr="00814F28" w:rsidRDefault="00FE7517" w:rsidP="00FE7517">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4 pkt.</w:t>
            </w:r>
          </w:p>
        </w:tc>
      </w:tr>
      <w:tr w:rsidR="001F330F" w:rsidRPr="00814F28" w14:paraId="11E5D617"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4F12930"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lastRenderedPageBreak/>
              <w:t>7.</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2C5F4B3" w14:textId="77777777" w:rsidR="001F330F" w:rsidRPr="00814F28" w:rsidRDefault="001F330F" w:rsidP="00F04A70">
            <w:pPr>
              <w:spacing w:after="0"/>
              <w:rPr>
                <w:rFonts w:ascii="Century Gothic" w:hAnsi="Century Gothic" w:cs="Times New Roman"/>
                <w:color w:val="000000"/>
                <w:sz w:val="18"/>
                <w:szCs w:val="18"/>
              </w:rPr>
            </w:pPr>
            <w:r w:rsidRPr="0003195D">
              <w:rPr>
                <w:rFonts w:ascii="Century Gothic" w:hAnsi="Century Gothic" w:cs="Times New Roman"/>
                <w:color w:val="000000"/>
                <w:sz w:val="18"/>
                <w:szCs w:val="18"/>
              </w:rPr>
              <w:t xml:space="preserve">Odległość od badanego </w:t>
            </w:r>
            <w:r w:rsidR="00FE7517">
              <w:rPr>
                <w:rFonts w:ascii="Century Gothic" w:hAnsi="Century Gothic" w:cs="Times New Roman"/>
                <w:color w:val="000000"/>
                <w:sz w:val="18"/>
                <w:szCs w:val="18"/>
              </w:rPr>
              <w:t>obiektu regulowana w zakresie min. 50 - 30</w:t>
            </w:r>
            <w:r w:rsidRPr="0003195D">
              <w:rPr>
                <w:rFonts w:ascii="Century Gothic" w:hAnsi="Century Gothic" w:cs="Times New Roman"/>
                <w:color w:val="000000"/>
                <w:sz w:val="18"/>
                <w:szCs w:val="18"/>
              </w:rPr>
              <w:t>0 mm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493DD6"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7D6072A"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DDE0F3" w14:textId="77777777" w:rsidR="00FE7517" w:rsidRDefault="00FE7517" w:rsidP="00FE7517">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230BAC83" w14:textId="77777777" w:rsidR="001F330F" w:rsidRPr="00814F28" w:rsidRDefault="00FE7517" w:rsidP="00FE7517">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2 pkt.</w:t>
            </w:r>
          </w:p>
        </w:tc>
      </w:tr>
      <w:tr w:rsidR="001F330F" w:rsidRPr="00814F28" w14:paraId="05658D42"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952E22F"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8.</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BBBF6E6" w14:textId="77777777" w:rsidR="001F330F" w:rsidRPr="00814F28" w:rsidRDefault="001F330F" w:rsidP="00FE7517">
            <w:pPr>
              <w:spacing w:after="0"/>
              <w:rPr>
                <w:rFonts w:ascii="Century Gothic" w:hAnsi="Century Gothic" w:cs="Times New Roman"/>
                <w:color w:val="000000"/>
                <w:sz w:val="18"/>
                <w:szCs w:val="18"/>
              </w:rPr>
            </w:pPr>
            <w:r w:rsidRPr="0003195D">
              <w:rPr>
                <w:rFonts w:ascii="Century Gothic" w:hAnsi="Century Gothic" w:cs="Times New Roman"/>
                <w:color w:val="000000"/>
                <w:sz w:val="18"/>
                <w:szCs w:val="18"/>
              </w:rPr>
              <w:t xml:space="preserve">Natężenie światła </w:t>
            </w:r>
            <w:r w:rsidR="00FE7517">
              <w:rPr>
                <w:rFonts w:ascii="Century Gothic" w:hAnsi="Century Gothic" w:cs="Times New Roman"/>
                <w:color w:val="000000"/>
                <w:sz w:val="18"/>
                <w:szCs w:val="18"/>
              </w:rPr>
              <w:t>min.</w:t>
            </w:r>
            <w:r w:rsidRPr="0003195D">
              <w:rPr>
                <w:rFonts w:ascii="Century Gothic" w:hAnsi="Century Gothic" w:cs="Times New Roman"/>
                <w:color w:val="000000"/>
                <w:sz w:val="18"/>
                <w:szCs w:val="18"/>
              </w:rPr>
              <w:t xml:space="preserve"> 25 000 luksów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4FB9685"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2CA324D"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1F8807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E30C329"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3E8D4A6"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9.</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632BC92" w14:textId="77777777" w:rsidR="001F330F" w:rsidRPr="00814F28" w:rsidRDefault="001F330F" w:rsidP="00F04A70">
            <w:pPr>
              <w:spacing w:after="0"/>
              <w:rPr>
                <w:rFonts w:ascii="Century Gothic" w:hAnsi="Century Gothic" w:cs="Times New Roman"/>
                <w:color w:val="000000"/>
                <w:sz w:val="18"/>
                <w:szCs w:val="18"/>
              </w:rPr>
            </w:pPr>
            <w:r w:rsidRPr="0003195D">
              <w:rPr>
                <w:rFonts w:ascii="Century Gothic" w:hAnsi="Century Gothic" w:cs="Times New Roman"/>
                <w:color w:val="000000"/>
                <w:sz w:val="18"/>
                <w:szCs w:val="18"/>
              </w:rPr>
              <w:t>Oświetlenie LED, światło białe, zimne o charakterystyce widma zapewniającej wierne odtworzenie barw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7905D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4E17938"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F44611"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3B219E2"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FBBAC38"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10.</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DCAE69D" w14:textId="77777777" w:rsidR="001F330F" w:rsidRPr="00814F28" w:rsidRDefault="001F330F" w:rsidP="00F04A70">
            <w:pPr>
              <w:spacing w:after="0"/>
              <w:rPr>
                <w:rFonts w:ascii="Century Gothic" w:hAnsi="Century Gothic" w:cs="Times New Roman"/>
                <w:color w:val="000000"/>
                <w:sz w:val="18"/>
                <w:szCs w:val="18"/>
              </w:rPr>
            </w:pPr>
            <w:r w:rsidRPr="0003195D">
              <w:rPr>
                <w:rFonts w:ascii="Century Gothic" w:hAnsi="Century Gothic" w:cs="Times New Roman"/>
                <w:color w:val="000000"/>
                <w:sz w:val="18"/>
                <w:szCs w:val="18"/>
              </w:rPr>
              <w:t>Regulowany filtr polaryzacyjny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BFE020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AA1B7F0"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91A5EC2"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65D71C2"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297D209"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11.</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561826D" w14:textId="77777777" w:rsidR="001F330F" w:rsidRPr="00814F28" w:rsidRDefault="00FE7517" w:rsidP="00F04A70">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Wbudowana kamera z </w:t>
            </w:r>
            <w:r w:rsidR="001F330F" w:rsidRPr="0003195D">
              <w:rPr>
                <w:rFonts w:ascii="Century Gothic" w:hAnsi="Century Gothic" w:cs="Times New Roman"/>
                <w:color w:val="000000"/>
                <w:sz w:val="18"/>
                <w:szCs w:val="18"/>
              </w:rPr>
              <w:t>funkcją precyzyjnego, automatycznego ustawienia ostrości obrazu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D583A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228D218"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10CB8C"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A21250B"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9E1E649"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12.</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A4C61F3" w14:textId="77777777" w:rsidR="001F330F" w:rsidRPr="00814F28" w:rsidRDefault="001F330F" w:rsidP="00F04A70">
            <w:pPr>
              <w:spacing w:after="0"/>
              <w:rPr>
                <w:rFonts w:ascii="Century Gothic" w:hAnsi="Century Gothic" w:cs="Times New Roman"/>
                <w:color w:val="000000"/>
                <w:sz w:val="18"/>
                <w:szCs w:val="18"/>
              </w:rPr>
            </w:pPr>
            <w:r w:rsidRPr="0003195D">
              <w:rPr>
                <w:rFonts w:ascii="Century Gothic" w:hAnsi="Century Gothic" w:cs="Times New Roman"/>
                <w:color w:val="000000"/>
                <w:sz w:val="18"/>
                <w:szCs w:val="18"/>
              </w:rPr>
              <w:t>Monitor z regulacją wysokości, obrotu i kata nachylenia min.</w:t>
            </w:r>
            <w:r w:rsidR="00FE7517">
              <w:rPr>
                <w:rFonts w:ascii="Century Gothic" w:hAnsi="Century Gothic" w:cs="Times New Roman"/>
                <w:color w:val="000000"/>
                <w:sz w:val="18"/>
                <w:szCs w:val="18"/>
              </w:rPr>
              <w:t xml:space="preserve"> </w:t>
            </w:r>
            <w:r w:rsidRPr="0003195D">
              <w:rPr>
                <w:rFonts w:ascii="Century Gothic" w:hAnsi="Century Gothic" w:cs="Times New Roman"/>
                <w:color w:val="000000"/>
                <w:sz w:val="18"/>
                <w:szCs w:val="18"/>
              </w:rPr>
              <w:t>30° umożliwiający podgląd obrazu zarówno operatorowi jak i pacjentowi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F56828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4DACB1D"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AEEF5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21F5D83"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496C634"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13.</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73E7D01" w14:textId="77777777" w:rsidR="001F330F" w:rsidRPr="00814F28" w:rsidRDefault="001F330F" w:rsidP="00F04A70">
            <w:pPr>
              <w:spacing w:after="0"/>
              <w:rPr>
                <w:rFonts w:ascii="Century Gothic" w:hAnsi="Century Gothic" w:cs="Times New Roman"/>
                <w:color w:val="000000"/>
                <w:sz w:val="18"/>
                <w:szCs w:val="18"/>
              </w:rPr>
            </w:pPr>
            <w:r w:rsidRPr="0003195D">
              <w:rPr>
                <w:rFonts w:ascii="Century Gothic" w:hAnsi="Century Gothic" w:cs="Times New Roman"/>
                <w:color w:val="000000"/>
                <w:sz w:val="18"/>
                <w:szCs w:val="18"/>
              </w:rPr>
              <w:t>Blokada pozycji monitora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4E471C"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D0ADC67"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4B6567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bl>
    <w:p w14:paraId="08531501"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7659737F" w14:textId="77777777" w:rsidR="001F330F" w:rsidRDefault="001F330F" w:rsidP="001F330F">
      <w:pPr>
        <w:pStyle w:val="Podtytu"/>
      </w:pPr>
      <w:r>
        <w:br w:type="page"/>
      </w:r>
    </w:p>
    <w:p w14:paraId="583443DF"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r w:rsidRPr="00814F28">
        <w:rPr>
          <w:rFonts w:ascii="Century Gothic" w:hAnsi="Century Gothic" w:cs="Times New Roman"/>
          <w:b/>
          <w:color w:val="000000" w:themeColor="text1"/>
          <w:sz w:val="18"/>
          <w:szCs w:val="18"/>
        </w:rPr>
        <w:lastRenderedPageBreak/>
        <w:t>Warunki gwarancji, serwisu i szkolenia</w:t>
      </w:r>
    </w:p>
    <w:p w14:paraId="681CB46D"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1F330F" w:rsidRPr="00814F28" w14:paraId="78179358" w14:textId="77777777" w:rsidTr="00F04A70">
        <w:tc>
          <w:tcPr>
            <w:tcW w:w="959" w:type="dxa"/>
            <w:tcBorders>
              <w:top w:val="single" w:sz="4" w:space="0" w:color="auto"/>
              <w:left w:val="single" w:sz="4" w:space="0" w:color="auto"/>
              <w:bottom w:val="single" w:sz="4" w:space="0" w:color="auto"/>
              <w:right w:val="single" w:sz="4" w:space="0" w:color="auto"/>
            </w:tcBorders>
            <w:vAlign w:val="center"/>
            <w:hideMark/>
          </w:tcPr>
          <w:p w14:paraId="3042A17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738892E" w14:textId="77777777" w:rsidR="001F330F" w:rsidRPr="00814F28" w:rsidRDefault="001F330F" w:rsidP="00F04A70">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3595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8B832B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E0F2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1F330F" w:rsidRPr="00814F28" w14:paraId="3DF8C7EA" w14:textId="77777777" w:rsidTr="00F04A70">
        <w:tc>
          <w:tcPr>
            <w:tcW w:w="959" w:type="dxa"/>
            <w:tcBorders>
              <w:top w:val="single" w:sz="4" w:space="0" w:color="auto"/>
              <w:left w:val="single" w:sz="4" w:space="0" w:color="auto"/>
              <w:bottom w:val="single" w:sz="4" w:space="0" w:color="auto"/>
              <w:right w:val="single" w:sz="4" w:space="0" w:color="auto"/>
            </w:tcBorders>
          </w:tcPr>
          <w:p w14:paraId="3B7C8AC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3E5FA25"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18BA3A3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B57B1C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4C3E24" w14:textId="77777777" w:rsidR="001F330F" w:rsidRPr="00814F28" w:rsidRDefault="001F330F" w:rsidP="00F04A70">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1F330F" w:rsidRPr="00814F28" w14:paraId="0066B736" w14:textId="77777777" w:rsidTr="00F04A70">
        <w:tc>
          <w:tcPr>
            <w:tcW w:w="959" w:type="dxa"/>
            <w:tcBorders>
              <w:top w:val="single" w:sz="4" w:space="0" w:color="auto"/>
              <w:left w:val="single" w:sz="4" w:space="0" w:color="auto"/>
              <w:bottom w:val="single" w:sz="4" w:space="0" w:color="auto"/>
              <w:right w:val="single" w:sz="4" w:space="0" w:color="auto"/>
            </w:tcBorders>
          </w:tcPr>
          <w:p w14:paraId="0C1A37E0" w14:textId="77777777" w:rsidR="001F330F" w:rsidRPr="00814F28" w:rsidRDefault="001F330F" w:rsidP="00F04A70">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4DE3403"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Okres pełnej, bez wyłączeń gwarancji dla wszystkich zaoferowanych elementów wraz z urządzeniami peryferyjnymi (jeśli dotyczy)[liczba miesięcy]</w:t>
            </w:r>
          </w:p>
          <w:p w14:paraId="3B7E344D"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73A9464F"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3FFB4AD2"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9B63A8" w:rsidRPr="00CB21DF">
              <w:rPr>
                <w:rFonts w:ascii="Century Gothic" w:hAnsi="Century Gothic" w:cs="Times New Roman"/>
                <w:b/>
                <w:i/>
                <w:color w:val="000000" w:themeColor="text1"/>
                <w:sz w:val="18"/>
                <w:szCs w:val="18"/>
              </w:rPr>
              <w:t>Zamawiający zastrzega, że górną granicą punktacji gwarancji będzie okres 5 lat (60 miesięcy)</w:t>
            </w:r>
            <w:r w:rsidR="009B63A8" w:rsidRPr="00CB21DF">
              <w:rPr>
                <w:rFonts w:ascii="Century Gothic" w:hAnsi="Century Gothic"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23986"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07159E5A"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689FE9"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p>
          <w:p w14:paraId="3FCB96D8"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p>
        </w:tc>
      </w:tr>
      <w:tr w:rsidR="001F330F" w:rsidRPr="00814F28" w14:paraId="16877F07" w14:textId="77777777" w:rsidTr="00F04A70">
        <w:tc>
          <w:tcPr>
            <w:tcW w:w="959" w:type="dxa"/>
            <w:tcBorders>
              <w:top w:val="single" w:sz="4" w:space="0" w:color="auto"/>
              <w:left w:val="single" w:sz="4" w:space="0" w:color="auto"/>
              <w:bottom w:val="single" w:sz="4" w:space="0" w:color="auto"/>
              <w:right w:val="single" w:sz="4" w:space="0" w:color="auto"/>
            </w:tcBorders>
          </w:tcPr>
          <w:p w14:paraId="7F8F44D1"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4FFA97"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4D540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29DCDA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E7B7E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2C58CB9" w14:textId="77777777" w:rsidTr="00F04A70">
        <w:tc>
          <w:tcPr>
            <w:tcW w:w="959" w:type="dxa"/>
            <w:tcBorders>
              <w:top w:val="single" w:sz="4" w:space="0" w:color="auto"/>
              <w:left w:val="single" w:sz="4" w:space="0" w:color="auto"/>
              <w:bottom w:val="single" w:sz="4" w:space="0" w:color="auto"/>
              <w:right w:val="single" w:sz="4" w:space="0" w:color="auto"/>
            </w:tcBorders>
          </w:tcPr>
          <w:p w14:paraId="6720DC0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2A6B483"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804F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1936FD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366B78"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D128C12" w14:textId="77777777" w:rsidTr="00F04A70">
        <w:tc>
          <w:tcPr>
            <w:tcW w:w="959" w:type="dxa"/>
            <w:tcBorders>
              <w:top w:val="single" w:sz="4" w:space="0" w:color="auto"/>
              <w:left w:val="single" w:sz="4" w:space="0" w:color="auto"/>
              <w:bottom w:val="single" w:sz="4" w:space="0" w:color="auto"/>
              <w:right w:val="single" w:sz="4" w:space="0" w:color="auto"/>
            </w:tcBorders>
          </w:tcPr>
          <w:p w14:paraId="2FB45C8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54EFF5D"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32A7557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886CFC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6DD264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1F330F" w:rsidRPr="00814F28" w14:paraId="1D706092" w14:textId="77777777" w:rsidTr="00F04A70">
        <w:tc>
          <w:tcPr>
            <w:tcW w:w="959" w:type="dxa"/>
            <w:tcBorders>
              <w:top w:val="single" w:sz="4" w:space="0" w:color="auto"/>
              <w:left w:val="single" w:sz="4" w:space="0" w:color="auto"/>
              <w:bottom w:val="single" w:sz="4" w:space="0" w:color="auto"/>
              <w:right w:val="single" w:sz="4" w:space="0" w:color="auto"/>
            </w:tcBorders>
          </w:tcPr>
          <w:p w14:paraId="3B94684E"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772430A"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2B42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0245BD4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7BB585"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 – 3 pkt.;</w:t>
            </w:r>
          </w:p>
          <w:p w14:paraId="4CEF8FE7"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 – 0 pkt.</w:t>
            </w:r>
          </w:p>
        </w:tc>
      </w:tr>
      <w:tr w:rsidR="001F330F" w:rsidRPr="00814F28" w14:paraId="0E67C74D" w14:textId="77777777" w:rsidTr="00F04A70">
        <w:tc>
          <w:tcPr>
            <w:tcW w:w="959" w:type="dxa"/>
            <w:tcBorders>
              <w:top w:val="single" w:sz="4" w:space="0" w:color="auto"/>
              <w:left w:val="single" w:sz="4" w:space="0" w:color="auto"/>
              <w:bottom w:val="single" w:sz="4" w:space="0" w:color="auto"/>
              <w:right w:val="single" w:sz="4" w:space="0" w:color="auto"/>
            </w:tcBorders>
          </w:tcPr>
          <w:p w14:paraId="7B3577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3F5810"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122245E4"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7DFFA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6A42138"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19B506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1ED32CF" w14:textId="77777777" w:rsidTr="00F04A70">
        <w:tc>
          <w:tcPr>
            <w:tcW w:w="959" w:type="dxa"/>
            <w:tcBorders>
              <w:top w:val="single" w:sz="4" w:space="0" w:color="auto"/>
              <w:left w:val="single" w:sz="4" w:space="0" w:color="auto"/>
              <w:bottom w:val="single" w:sz="4" w:space="0" w:color="auto"/>
              <w:right w:val="single" w:sz="4" w:space="0" w:color="auto"/>
            </w:tcBorders>
          </w:tcPr>
          <w:p w14:paraId="3E558693"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21898A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34A63EE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C7E8C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9F15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2C3B40B" w14:textId="77777777" w:rsidTr="00F04A70">
        <w:tc>
          <w:tcPr>
            <w:tcW w:w="959" w:type="dxa"/>
            <w:tcBorders>
              <w:top w:val="single" w:sz="4" w:space="0" w:color="auto"/>
              <w:left w:val="single" w:sz="4" w:space="0" w:color="auto"/>
              <w:bottom w:val="single" w:sz="4" w:space="0" w:color="auto"/>
              <w:right w:val="single" w:sz="4" w:space="0" w:color="auto"/>
            </w:tcBorders>
          </w:tcPr>
          <w:p w14:paraId="43C3079D"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C07F8C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48DF2BCD"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4A044F2"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381B9D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44876C4" w14:textId="77777777" w:rsidTr="00F04A70">
        <w:tc>
          <w:tcPr>
            <w:tcW w:w="959" w:type="dxa"/>
            <w:tcBorders>
              <w:top w:val="single" w:sz="4" w:space="0" w:color="auto"/>
              <w:left w:val="single" w:sz="4" w:space="0" w:color="auto"/>
              <w:bottom w:val="single" w:sz="4" w:space="0" w:color="auto"/>
              <w:right w:val="single" w:sz="4" w:space="0" w:color="auto"/>
            </w:tcBorders>
          </w:tcPr>
          <w:p w14:paraId="48DEC74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5902BB0"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26E8D5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D55818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56E2D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1D67FD67" w14:textId="77777777" w:rsidTr="00F04A70">
        <w:tc>
          <w:tcPr>
            <w:tcW w:w="959" w:type="dxa"/>
            <w:tcBorders>
              <w:top w:val="single" w:sz="4" w:space="0" w:color="auto"/>
              <w:left w:val="single" w:sz="4" w:space="0" w:color="auto"/>
              <w:bottom w:val="single" w:sz="4" w:space="0" w:color="auto"/>
              <w:right w:val="single" w:sz="4" w:space="0" w:color="auto"/>
            </w:tcBorders>
          </w:tcPr>
          <w:p w14:paraId="1B012D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7338C4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2F989D0A"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CCD530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F7684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0E9EC00B" w14:textId="77777777" w:rsidTr="00F04A70">
        <w:tc>
          <w:tcPr>
            <w:tcW w:w="959" w:type="dxa"/>
            <w:tcBorders>
              <w:top w:val="single" w:sz="4" w:space="0" w:color="auto"/>
              <w:left w:val="single" w:sz="4" w:space="0" w:color="auto"/>
              <w:bottom w:val="single" w:sz="4" w:space="0" w:color="auto"/>
              <w:right w:val="single" w:sz="4" w:space="0" w:color="auto"/>
            </w:tcBorders>
          </w:tcPr>
          <w:p w14:paraId="39712632"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4D3147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0C524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60E563E"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0F723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5B957B2C" w14:textId="77777777" w:rsidTr="00F04A70">
        <w:tc>
          <w:tcPr>
            <w:tcW w:w="959" w:type="dxa"/>
            <w:tcBorders>
              <w:top w:val="single" w:sz="4" w:space="0" w:color="auto"/>
              <w:left w:val="single" w:sz="4" w:space="0" w:color="auto"/>
              <w:bottom w:val="single" w:sz="4" w:space="0" w:color="auto"/>
              <w:right w:val="single" w:sz="4" w:space="0" w:color="auto"/>
            </w:tcBorders>
          </w:tcPr>
          <w:p w14:paraId="7B3A21D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31FA26" w14:textId="77777777" w:rsidR="001F330F" w:rsidRPr="00814F28" w:rsidRDefault="009B63A8"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CB21DF">
              <w:rPr>
                <w:rFonts w:ascii="Century Gothic" w:hAnsi="Century Gothic" w:cs="Times New Roman"/>
                <w:color w:val="000000" w:themeColor="text1"/>
                <w:sz w:val="18"/>
                <w:szCs w:val="18"/>
              </w:rPr>
              <w:t>Struktura serwisowa gwarantująca realizację wymogów stawianych w niniejszej specyfikacji (np. przez posiadanie odpowiedniej struktury  inżynierów serwisowych) lub udokumentowana/uprawdopodobniona dokumentami możliwość realizacji wymogów stawianych w niniejszej specyfikacji (np. przez posiadanie umowy z jednostkami realizującymi usługi serwisowe)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185635C9"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E5A196B"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8DE4F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9BBEF50" w14:textId="77777777" w:rsidTr="00F04A70">
        <w:tc>
          <w:tcPr>
            <w:tcW w:w="959" w:type="dxa"/>
            <w:tcBorders>
              <w:top w:val="single" w:sz="4" w:space="0" w:color="auto"/>
              <w:left w:val="single" w:sz="4" w:space="0" w:color="auto"/>
              <w:bottom w:val="single" w:sz="4" w:space="0" w:color="auto"/>
              <w:right w:val="single" w:sz="4" w:space="0" w:color="auto"/>
            </w:tcBorders>
          </w:tcPr>
          <w:p w14:paraId="10A31D9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B375E2"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w:t>
            </w:r>
            <w:r w:rsidRPr="00814F28">
              <w:rPr>
                <w:rFonts w:ascii="Century Gothic" w:hAnsi="Century Gothic"/>
                <w:color w:val="000000" w:themeColor="text1"/>
                <w:sz w:val="18"/>
                <w:szCs w:val="18"/>
              </w:rPr>
              <w:lastRenderedPageBreak/>
              <w:t xml:space="preserve">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BBE503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7F193F00"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692D32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16EF3A" w14:textId="77777777" w:rsidTr="00F04A70">
        <w:tc>
          <w:tcPr>
            <w:tcW w:w="959" w:type="dxa"/>
            <w:tcBorders>
              <w:top w:val="single" w:sz="4" w:space="0" w:color="auto"/>
              <w:left w:val="single" w:sz="4" w:space="0" w:color="auto"/>
              <w:bottom w:val="single" w:sz="4" w:space="0" w:color="auto"/>
              <w:right w:val="single" w:sz="4" w:space="0" w:color="auto"/>
            </w:tcBorders>
          </w:tcPr>
          <w:p w14:paraId="49D8AFF8"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8E3AA1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01FF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74AF6588"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7D71A41"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1F330F" w:rsidRPr="00814F28" w14:paraId="0AA95E63" w14:textId="77777777" w:rsidTr="00F04A70">
        <w:tc>
          <w:tcPr>
            <w:tcW w:w="959" w:type="dxa"/>
            <w:tcBorders>
              <w:top w:val="single" w:sz="4" w:space="0" w:color="auto"/>
              <w:left w:val="single" w:sz="4" w:space="0" w:color="auto"/>
              <w:bottom w:val="single" w:sz="4" w:space="0" w:color="auto"/>
              <w:right w:val="single" w:sz="4" w:space="0" w:color="auto"/>
            </w:tcBorders>
          </w:tcPr>
          <w:p w14:paraId="24E46614"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2CD73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84963E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28A3F41"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CA96C3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8FEAD87" w14:textId="77777777" w:rsidTr="00F04A70">
        <w:tc>
          <w:tcPr>
            <w:tcW w:w="959" w:type="dxa"/>
            <w:tcBorders>
              <w:top w:val="single" w:sz="4" w:space="0" w:color="auto"/>
              <w:left w:val="single" w:sz="4" w:space="0" w:color="auto"/>
              <w:bottom w:val="single" w:sz="4" w:space="0" w:color="auto"/>
              <w:right w:val="single" w:sz="4" w:space="0" w:color="auto"/>
            </w:tcBorders>
          </w:tcPr>
          <w:p w14:paraId="1E96BEB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81FB95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4161B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21DA2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0BBA03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91325C6" w14:textId="77777777" w:rsidTr="00F04A70">
        <w:tc>
          <w:tcPr>
            <w:tcW w:w="959" w:type="dxa"/>
            <w:tcBorders>
              <w:top w:val="single" w:sz="4" w:space="0" w:color="auto"/>
              <w:left w:val="single" w:sz="4" w:space="0" w:color="auto"/>
              <w:bottom w:val="single" w:sz="4" w:space="0" w:color="auto"/>
              <w:right w:val="single" w:sz="4" w:space="0" w:color="auto"/>
            </w:tcBorders>
          </w:tcPr>
          <w:p w14:paraId="5D5419C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6E3D0F" w14:textId="77777777" w:rsidR="001F330F" w:rsidRPr="00814F28" w:rsidRDefault="001F330F" w:rsidP="00F04A70">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6629711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EE571B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348C0A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AFEFB52" w14:textId="77777777" w:rsidTr="00F04A70">
        <w:tc>
          <w:tcPr>
            <w:tcW w:w="959" w:type="dxa"/>
            <w:tcBorders>
              <w:top w:val="single" w:sz="4" w:space="0" w:color="auto"/>
              <w:left w:val="single" w:sz="4" w:space="0" w:color="auto"/>
              <w:bottom w:val="single" w:sz="4" w:space="0" w:color="auto"/>
              <w:right w:val="single" w:sz="4" w:space="0" w:color="auto"/>
            </w:tcBorders>
          </w:tcPr>
          <w:p w14:paraId="2E9D00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8320409"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11D1C203"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370CA06B"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7A72EC9A"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25EBD7F1"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3C8061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9EED37"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3A37E78" w14:textId="77777777" w:rsidTr="00F04A70">
        <w:trPr>
          <w:trHeight w:val="396"/>
        </w:trPr>
        <w:tc>
          <w:tcPr>
            <w:tcW w:w="959" w:type="dxa"/>
            <w:tcBorders>
              <w:top w:val="single" w:sz="4" w:space="0" w:color="auto"/>
              <w:left w:val="single" w:sz="4" w:space="0" w:color="auto"/>
              <w:bottom w:val="single" w:sz="4" w:space="0" w:color="auto"/>
              <w:right w:val="single" w:sz="4" w:space="0" w:color="auto"/>
            </w:tcBorders>
          </w:tcPr>
          <w:p w14:paraId="52FC56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58795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D8B8EE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DF6FAAE"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FBC438"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1F330F" w:rsidRPr="00814F28" w14:paraId="5345782A" w14:textId="77777777" w:rsidTr="00F04A70">
        <w:tc>
          <w:tcPr>
            <w:tcW w:w="959" w:type="dxa"/>
            <w:tcBorders>
              <w:top w:val="single" w:sz="4" w:space="0" w:color="auto"/>
              <w:left w:val="single" w:sz="4" w:space="0" w:color="auto"/>
              <w:bottom w:val="single" w:sz="4" w:space="0" w:color="auto"/>
              <w:right w:val="single" w:sz="4" w:space="0" w:color="auto"/>
            </w:tcBorders>
          </w:tcPr>
          <w:p w14:paraId="1237B18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DA2BCD7" w14:textId="77777777" w:rsidR="001F330F" w:rsidRPr="00814F28" w:rsidRDefault="001F330F" w:rsidP="00F04A70">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67338F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1F689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FC0B2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563DFC4" w14:textId="77777777" w:rsidTr="00F04A70">
        <w:tc>
          <w:tcPr>
            <w:tcW w:w="959" w:type="dxa"/>
            <w:tcBorders>
              <w:top w:val="single" w:sz="4" w:space="0" w:color="auto"/>
              <w:left w:val="single" w:sz="4" w:space="0" w:color="auto"/>
              <w:bottom w:val="single" w:sz="4" w:space="0" w:color="auto"/>
              <w:right w:val="single" w:sz="4" w:space="0" w:color="auto"/>
            </w:tcBorders>
          </w:tcPr>
          <w:p w14:paraId="2B1FD3A7"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F0772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5BCCFB9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DCC245"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15B8E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DDDF95" w14:textId="77777777" w:rsidTr="00F04A70">
        <w:tc>
          <w:tcPr>
            <w:tcW w:w="959" w:type="dxa"/>
            <w:tcBorders>
              <w:top w:val="single" w:sz="4" w:space="0" w:color="auto"/>
              <w:left w:val="single" w:sz="4" w:space="0" w:color="auto"/>
              <w:bottom w:val="single" w:sz="4" w:space="0" w:color="auto"/>
              <w:right w:val="single" w:sz="4" w:space="0" w:color="auto"/>
            </w:tcBorders>
          </w:tcPr>
          <w:p w14:paraId="138C5EA9"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B1847FF"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3D8EC9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29E327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A6ABD5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F355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77609D6" w14:textId="77777777" w:rsidTr="00F04A70">
        <w:tc>
          <w:tcPr>
            <w:tcW w:w="959" w:type="dxa"/>
            <w:tcBorders>
              <w:top w:val="single" w:sz="4" w:space="0" w:color="auto"/>
              <w:left w:val="single" w:sz="4" w:space="0" w:color="auto"/>
              <w:bottom w:val="single" w:sz="4" w:space="0" w:color="auto"/>
              <w:right w:val="single" w:sz="4" w:space="0" w:color="auto"/>
            </w:tcBorders>
          </w:tcPr>
          <w:p w14:paraId="74D751E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36F32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5BFF17A2"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3A896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B60F4F"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9212BBF" w14:textId="77777777" w:rsidTr="00F04A70">
        <w:tc>
          <w:tcPr>
            <w:tcW w:w="959" w:type="dxa"/>
            <w:tcBorders>
              <w:top w:val="single" w:sz="4" w:space="0" w:color="auto"/>
              <w:left w:val="single" w:sz="4" w:space="0" w:color="auto"/>
              <w:bottom w:val="single" w:sz="4" w:space="0" w:color="auto"/>
              <w:right w:val="single" w:sz="4" w:space="0" w:color="auto"/>
            </w:tcBorders>
          </w:tcPr>
          <w:p w14:paraId="1664432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F7175BB"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5EBE47BF"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D348CC"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C8ED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E24B723" w14:textId="77777777" w:rsidTr="00F04A70">
        <w:tc>
          <w:tcPr>
            <w:tcW w:w="959" w:type="dxa"/>
            <w:tcBorders>
              <w:top w:val="single" w:sz="4" w:space="0" w:color="auto"/>
              <w:left w:val="single" w:sz="4" w:space="0" w:color="auto"/>
              <w:bottom w:val="single" w:sz="4" w:space="0" w:color="auto"/>
              <w:right w:val="single" w:sz="4" w:space="0" w:color="auto"/>
            </w:tcBorders>
          </w:tcPr>
          <w:p w14:paraId="7897FD40"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9DB694C" w14:textId="77777777" w:rsidR="001F330F" w:rsidRPr="00814F28" w:rsidRDefault="001F330F" w:rsidP="00F04A70">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71637BEC"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095FB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E042F0"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74CE8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2192913C"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0EDA6445" w14:textId="77777777" w:rsidR="00AD596F" w:rsidRPr="001F330F" w:rsidRDefault="00AD596F" w:rsidP="001F330F"/>
    <w:sectPr w:rsidR="00AD596F" w:rsidRPr="001F330F" w:rsidSect="00F04A70">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87739" w14:textId="77777777" w:rsidR="005F7FFD" w:rsidRDefault="005F7FFD">
      <w:pPr>
        <w:spacing w:after="0" w:line="240" w:lineRule="auto"/>
      </w:pPr>
      <w:r>
        <w:separator/>
      </w:r>
    </w:p>
  </w:endnote>
  <w:endnote w:type="continuationSeparator" w:id="0">
    <w:p w14:paraId="19D68E80" w14:textId="77777777" w:rsidR="005F7FFD" w:rsidRDefault="005F7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ヒラギノ角ゴ Pro W3">
    <w:altName w:val="MS Mincho"/>
    <w:charset w:val="80"/>
    <w:family w:val="auto"/>
    <w:pitch w:val="variable"/>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7F46D52E" w14:textId="23DBD91D" w:rsidR="007E0E80" w:rsidRDefault="007E0E80">
        <w:pPr>
          <w:pStyle w:val="Stopka"/>
          <w:jc w:val="right"/>
        </w:pPr>
        <w:r>
          <w:fldChar w:fldCharType="begin"/>
        </w:r>
        <w:r>
          <w:instrText>PAGE   \* MERGEFORMAT</w:instrText>
        </w:r>
        <w:r>
          <w:fldChar w:fldCharType="separate"/>
        </w:r>
        <w:r w:rsidR="00020365">
          <w:rPr>
            <w:noProof/>
          </w:rPr>
          <w:t>1</w:t>
        </w:r>
        <w:r>
          <w:fldChar w:fldCharType="end"/>
        </w:r>
      </w:p>
    </w:sdtContent>
  </w:sdt>
  <w:p w14:paraId="5B6D4876" w14:textId="77777777" w:rsidR="007E0E80" w:rsidRDefault="007E0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1E7C0" w14:textId="77777777" w:rsidR="005F7FFD" w:rsidRDefault="005F7FFD">
      <w:pPr>
        <w:spacing w:after="0" w:line="240" w:lineRule="auto"/>
      </w:pPr>
      <w:r>
        <w:separator/>
      </w:r>
    </w:p>
  </w:footnote>
  <w:footnote w:type="continuationSeparator" w:id="0">
    <w:p w14:paraId="6580E259" w14:textId="77777777" w:rsidR="005F7FFD" w:rsidRDefault="005F7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1A2" w14:textId="77777777" w:rsidR="007E0E80" w:rsidRDefault="007E0E80" w:rsidP="00F04A70">
    <w:pPr>
      <w:pStyle w:val="Nagwek"/>
      <w:jc w:val="center"/>
      <w:rPr>
        <w:sz w:val="18"/>
        <w:szCs w:val="18"/>
      </w:rPr>
    </w:pPr>
    <w:r>
      <w:rPr>
        <w:noProof/>
        <w:sz w:val="18"/>
        <w:szCs w:val="18"/>
      </w:rPr>
      <w:drawing>
        <wp:inline distT="0" distB="0" distL="0" distR="0" wp14:anchorId="743579F4" wp14:editId="4294737C">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786418A"/>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302512"/>
    <w:multiLevelType w:val="hybridMultilevel"/>
    <w:tmpl w:val="CFEABB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9E390E"/>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854"/>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80F22"/>
    <w:multiLevelType w:val="hybridMultilevel"/>
    <w:tmpl w:val="A5AEB6CE"/>
    <w:lvl w:ilvl="0" w:tplc="D3A4E4A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4A3498E"/>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243A62"/>
    <w:multiLevelType w:val="hybridMultilevel"/>
    <w:tmpl w:val="8442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C3049"/>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A976A2"/>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783D"/>
    <w:multiLevelType w:val="hybridMultilevel"/>
    <w:tmpl w:val="3A202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A9323F"/>
    <w:multiLevelType w:val="hybridMultilevel"/>
    <w:tmpl w:val="99E6A62E"/>
    <w:lvl w:ilvl="0" w:tplc="0000000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3D48436A"/>
    <w:multiLevelType w:val="hybridMultilevel"/>
    <w:tmpl w:val="FB7C7518"/>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2534"/>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D464C"/>
    <w:multiLevelType w:val="hybridMultilevel"/>
    <w:tmpl w:val="99024C2C"/>
    <w:lvl w:ilvl="0" w:tplc="00000003">
      <w:numFmt w:val="bullet"/>
      <w:lvlText w:val="-"/>
      <w:lvlJc w:val="left"/>
      <w:pPr>
        <w:tabs>
          <w:tab w:val="num" w:pos="502"/>
        </w:tabs>
        <w:ind w:left="502"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B5228"/>
    <w:multiLevelType w:val="hybridMultilevel"/>
    <w:tmpl w:val="06764E38"/>
    <w:lvl w:ilvl="0" w:tplc="94D660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281914"/>
    <w:multiLevelType w:val="hybridMultilevel"/>
    <w:tmpl w:val="B27CB69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A7F8F"/>
    <w:multiLevelType w:val="hybridMultilevel"/>
    <w:tmpl w:val="DB2238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F50C26"/>
    <w:multiLevelType w:val="hybridMultilevel"/>
    <w:tmpl w:val="8A54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0609"/>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10438C"/>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72629B"/>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46CDD"/>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3"/>
  </w:num>
  <w:num w:numId="8">
    <w:abstractNumId w:val="10"/>
  </w:num>
  <w:num w:numId="9">
    <w:abstractNumId w:val="5"/>
  </w:num>
  <w:num w:numId="10">
    <w:abstractNumId w:val="29"/>
  </w:num>
  <w:num w:numId="11">
    <w:abstractNumId w:val="12"/>
  </w:num>
  <w:num w:numId="12">
    <w:abstractNumId w:val="6"/>
  </w:num>
  <w:num w:numId="13">
    <w:abstractNumId w:val="27"/>
  </w:num>
  <w:num w:numId="14">
    <w:abstractNumId w:val="26"/>
  </w:num>
  <w:num w:numId="15">
    <w:abstractNumId w:val="19"/>
  </w:num>
  <w:num w:numId="16">
    <w:abstractNumId w:val="7"/>
  </w:num>
  <w:num w:numId="17">
    <w:abstractNumId w:val="14"/>
  </w:num>
  <w:num w:numId="18">
    <w:abstractNumId w:val="25"/>
  </w:num>
  <w:num w:numId="19">
    <w:abstractNumId w:val="15"/>
  </w:num>
  <w:num w:numId="20">
    <w:abstractNumId w:val="24"/>
  </w:num>
  <w:num w:numId="21">
    <w:abstractNumId w:val="13"/>
  </w:num>
  <w:num w:numId="22">
    <w:abstractNumId w:val="4"/>
  </w:num>
  <w:num w:numId="23">
    <w:abstractNumId w:val="8"/>
  </w:num>
  <w:num w:numId="24">
    <w:abstractNumId w:val="21"/>
  </w:num>
  <w:num w:numId="25">
    <w:abstractNumId w:val="28"/>
  </w:num>
  <w:num w:numId="26">
    <w:abstractNumId w:val="20"/>
  </w:num>
  <w:num w:numId="27">
    <w:abstractNumId w:val="22"/>
  </w:num>
  <w:num w:numId="28">
    <w:abstractNumId w:val="16"/>
  </w:num>
  <w:num w:numId="29">
    <w:abstractNumId w:val="18"/>
  </w:num>
  <w:num w:numId="30">
    <w:abstractNumId w:val="3"/>
  </w:num>
  <w:num w:numId="31">
    <w:abstractNumId w:val="9"/>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F"/>
    <w:rsid w:val="000041D0"/>
    <w:rsid w:val="00017636"/>
    <w:rsid w:val="00020045"/>
    <w:rsid w:val="00020365"/>
    <w:rsid w:val="00022B59"/>
    <w:rsid w:val="000248DF"/>
    <w:rsid w:val="00025CE2"/>
    <w:rsid w:val="0004057D"/>
    <w:rsid w:val="000528F6"/>
    <w:rsid w:val="00086DAF"/>
    <w:rsid w:val="000D7E99"/>
    <w:rsid w:val="000E163E"/>
    <w:rsid w:val="000F552F"/>
    <w:rsid w:val="00105A50"/>
    <w:rsid w:val="001322F3"/>
    <w:rsid w:val="00136BEF"/>
    <w:rsid w:val="001412B8"/>
    <w:rsid w:val="001447CC"/>
    <w:rsid w:val="00170021"/>
    <w:rsid w:val="00171775"/>
    <w:rsid w:val="001923B7"/>
    <w:rsid w:val="001A6717"/>
    <w:rsid w:val="001C2ED6"/>
    <w:rsid w:val="001E2423"/>
    <w:rsid w:val="001F330F"/>
    <w:rsid w:val="00201020"/>
    <w:rsid w:val="002167ED"/>
    <w:rsid w:val="00237B1C"/>
    <w:rsid w:val="00271F9F"/>
    <w:rsid w:val="00284F3D"/>
    <w:rsid w:val="002923AD"/>
    <w:rsid w:val="002A2069"/>
    <w:rsid w:val="002B7601"/>
    <w:rsid w:val="002C1247"/>
    <w:rsid w:val="002D2FBB"/>
    <w:rsid w:val="002D3DE1"/>
    <w:rsid w:val="002E0523"/>
    <w:rsid w:val="002E1100"/>
    <w:rsid w:val="002F31EB"/>
    <w:rsid w:val="002F7042"/>
    <w:rsid w:val="002F782A"/>
    <w:rsid w:val="003038D3"/>
    <w:rsid w:val="00363D5C"/>
    <w:rsid w:val="0036585E"/>
    <w:rsid w:val="00376477"/>
    <w:rsid w:val="003848D6"/>
    <w:rsid w:val="003C6177"/>
    <w:rsid w:val="003E55A9"/>
    <w:rsid w:val="004158E9"/>
    <w:rsid w:val="00415D7D"/>
    <w:rsid w:val="004229BC"/>
    <w:rsid w:val="00425FFA"/>
    <w:rsid w:val="00497807"/>
    <w:rsid w:val="004F068C"/>
    <w:rsid w:val="004F13C0"/>
    <w:rsid w:val="0050223B"/>
    <w:rsid w:val="005500A5"/>
    <w:rsid w:val="0055779A"/>
    <w:rsid w:val="00561C32"/>
    <w:rsid w:val="005B58E8"/>
    <w:rsid w:val="005D1030"/>
    <w:rsid w:val="005E7BA5"/>
    <w:rsid w:val="005F7FFD"/>
    <w:rsid w:val="00615208"/>
    <w:rsid w:val="00621858"/>
    <w:rsid w:val="00667DE7"/>
    <w:rsid w:val="00681422"/>
    <w:rsid w:val="00687F7A"/>
    <w:rsid w:val="006C1707"/>
    <w:rsid w:val="006C4C5C"/>
    <w:rsid w:val="006D58D0"/>
    <w:rsid w:val="006F2565"/>
    <w:rsid w:val="006F3D54"/>
    <w:rsid w:val="0070092A"/>
    <w:rsid w:val="007029A8"/>
    <w:rsid w:val="00704C51"/>
    <w:rsid w:val="00720ABF"/>
    <w:rsid w:val="007438A9"/>
    <w:rsid w:val="00745BF5"/>
    <w:rsid w:val="00771DCB"/>
    <w:rsid w:val="007746A1"/>
    <w:rsid w:val="00787E83"/>
    <w:rsid w:val="007C5027"/>
    <w:rsid w:val="007D412F"/>
    <w:rsid w:val="007E0E80"/>
    <w:rsid w:val="007E3055"/>
    <w:rsid w:val="008027B6"/>
    <w:rsid w:val="00820479"/>
    <w:rsid w:val="00827952"/>
    <w:rsid w:val="00843031"/>
    <w:rsid w:val="008568A1"/>
    <w:rsid w:val="00882F47"/>
    <w:rsid w:val="008A37D1"/>
    <w:rsid w:val="008A55E7"/>
    <w:rsid w:val="008A7CF8"/>
    <w:rsid w:val="008C3D90"/>
    <w:rsid w:val="00933CE7"/>
    <w:rsid w:val="00947F90"/>
    <w:rsid w:val="00973F9C"/>
    <w:rsid w:val="00974369"/>
    <w:rsid w:val="009A6677"/>
    <w:rsid w:val="009B5B48"/>
    <w:rsid w:val="009B63A8"/>
    <w:rsid w:val="009C2BD4"/>
    <w:rsid w:val="009D3B1F"/>
    <w:rsid w:val="009D78FF"/>
    <w:rsid w:val="009F48D6"/>
    <w:rsid w:val="00A079B3"/>
    <w:rsid w:val="00A31790"/>
    <w:rsid w:val="00A4429C"/>
    <w:rsid w:val="00A459BC"/>
    <w:rsid w:val="00A57BAC"/>
    <w:rsid w:val="00A62E79"/>
    <w:rsid w:val="00A7276B"/>
    <w:rsid w:val="00A93444"/>
    <w:rsid w:val="00AB154B"/>
    <w:rsid w:val="00AD1447"/>
    <w:rsid w:val="00AD596F"/>
    <w:rsid w:val="00B347F4"/>
    <w:rsid w:val="00B358B1"/>
    <w:rsid w:val="00B41074"/>
    <w:rsid w:val="00B46757"/>
    <w:rsid w:val="00C07BAB"/>
    <w:rsid w:val="00C313A9"/>
    <w:rsid w:val="00C426EF"/>
    <w:rsid w:val="00C7711C"/>
    <w:rsid w:val="00CB4EE6"/>
    <w:rsid w:val="00CD1C79"/>
    <w:rsid w:val="00D20673"/>
    <w:rsid w:val="00D31A7C"/>
    <w:rsid w:val="00D713E2"/>
    <w:rsid w:val="00DA0776"/>
    <w:rsid w:val="00DB22A9"/>
    <w:rsid w:val="00DF217E"/>
    <w:rsid w:val="00DF3A51"/>
    <w:rsid w:val="00E27A66"/>
    <w:rsid w:val="00E62620"/>
    <w:rsid w:val="00E76E53"/>
    <w:rsid w:val="00E86AAF"/>
    <w:rsid w:val="00EA6574"/>
    <w:rsid w:val="00EC16D0"/>
    <w:rsid w:val="00ED7F95"/>
    <w:rsid w:val="00EF4F92"/>
    <w:rsid w:val="00EF62F1"/>
    <w:rsid w:val="00F04A70"/>
    <w:rsid w:val="00F274F0"/>
    <w:rsid w:val="00F76D26"/>
    <w:rsid w:val="00FB5150"/>
    <w:rsid w:val="00FE3124"/>
    <w:rsid w:val="00FE6846"/>
    <w:rsid w:val="00FE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FF0B"/>
  <w15:docId w15:val="{1F1B230D-8ADB-4502-89D5-FDDE839A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0F"/>
    <w:pPr>
      <w:spacing w:after="200" w:line="276" w:lineRule="auto"/>
    </w:pPr>
  </w:style>
  <w:style w:type="paragraph" w:styleId="Nagwek1">
    <w:name w:val="heading 1"/>
    <w:basedOn w:val="Normalny"/>
    <w:next w:val="Normalny"/>
    <w:link w:val="Nagwek1Znak"/>
    <w:uiPriority w:val="9"/>
    <w:qFormat/>
    <w:rsid w:val="001F330F"/>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1F330F"/>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1F330F"/>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1F330F"/>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1F330F"/>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1F330F"/>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1F330F"/>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1F330F"/>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1F330F"/>
    <w:rPr>
      <w:rFonts w:ascii="Times New Roman" w:eastAsia="Andale Sans UI" w:hAnsi="Times New Roman" w:cs="Arial"/>
      <w:b/>
      <w:bCs/>
      <w:kern w:val="1"/>
      <w:sz w:val="20"/>
      <w:szCs w:val="24"/>
      <w:shd w:val="clear" w:color="auto" w:fill="FFFFFF"/>
      <w:lang w:eastAsia="pl-PL"/>
    </w:rPr>
  </w:style>
  <w:style w:type="character" w:customStyle="1" w:styleId="Nagwek6Znak">
    <w:name w:val="Nagłówek 6 Znak"/>
    <w:basedOn w:val="Domylnaczcionkaakapitu"/>
    <w:link w:val="Nagwek6"/>
    <w:uiPriority w:val="9"/>
    <w:rsid w:val="001F330F"/>
    <w:rPr>
      <w:rFonts w:ascii="Times New Roman" w:eastAsia="Times New Roman" w:hAnsi="Times New Roman" w:cs="Times New Roman"/>
      <w:b/>
      <w:bCs/>
      <w:kern w:val="1"/>
      <w:lang w:eastAsia="ar-SA"/>
    </w:rPr>
  </w:style>
  <w:style w:type="character" w:customStyle="1" w:styleId="WW8Num2z0">
    <w:name w:val="WW8Num2z0"/>
    <w:rsid w:val="001F330F"/>
    <w:rPr>
      <w:rFonts w:ascii="Wingdings 2" w:hAnsi="Wingdings 2" w:cs="OpenSymbol"/>
    </w:rPr>
  </w:style>
  <w:style w:type="character" w:customStyle="1" w:styleId="WW8Num2z1">
    <w:name w:val="WW8Num2z1"/>
    <w:rsid w:val="001F330F"/>
    <w:rPr>
      <w:rFonts w:ascii="OpenSymbol" w:hAnsi="OpenSymbol" w:cs="OpenSymbol"/>
    </w:rPr>
  </w:style>
  <w:style w:type="character" w:customStyle="1" w:styleId="WW8Num3z0">
    <w:name w:val="WW8Num3z0"/>
    <w:rsid w:val="001F330F"/>
    <w:rPr>
      <w:rFonts w:ascii="Times New Roman" w:hAnsi="Times New Roman" w:cs="Times New Roman"/>
    </w:rPr>
  </w:style>
  <w:style w:type="character" w:customStyle="1" w:styleId="WW8Num4z0">
    <w:name w:val="WW8Num4z0"/>
    <w:rsid w:val="001F330F"/>
    <w:rPr>
      <w:rFonts w:ascii="Tahoma" w:hAnsi="Tahoma" w:cs="Tahoma"/>
    </w:rPr>
  </w:style>
  <w:style w:type="character" w:customStyle="1" w:styleId="Absatz-Standardschriftart">
    <w:name w:val="Absatz-Standardschriftart"/>
    <w:rsid w:val="001F330F"/>
  </w:style>
  <w:style w:type="character" w:customStyle="1" w:styleId="WW-Absatz-Standardschriftart">
    <w:name w:val="WW-Absatz-Standardschriftart"/>
    <w:rsid w:val="001F330F"/>
  </w:style>
  <w:style w:type="character" w:customStyle="1" w:styleId="WW-Absatz-Standardschriftart1">
    <w:name w:val="WW-Absatz-Standardschriftart1"/>
    <w:rsid w:val="001F330F"/>
  </w:style>
  <w:style w:type="character" w:customStyle="1" w:styleId="WW-Absatz-Standardschriftart11">
    <w:name w:val="WW-Absatz-Standardschriftart11"/>
    <w:rsid w:val="001F330F"/>
  </w:style>
  <w:style w:type="character" w:customStyle="1" w:styleId="WW-Absatz-Standardschriftart111">
    <w:name w:val="WW-Absatz-Standardschriftart111"/>
    <w:rsid w:val="001F330F"/>
  </w:style>
  <w:style w:type="character" w:customStyle="1" w:styleId="Domylnaczcionkaakapitu1">
    <w:name w:val="Domyślna czcionka akapitu1"/>
    <w:rsid w:val="001F330F"/>
  </w:style>
  <w:style w:type="character" w:customStyle="1" w:styleId="WW-Absatz-Standardschriftart1111">
    <w:name w:val="WW-Absatz-Standardschriftart1111"/>
    <w:rsid w:val="001F330F"/>
  </w:style>
  <w:style w:type="character" w:customStyle="1" w:styleId="WW-Absatz-Standardschriftart11111">
    <w:name w:val="WW-Absatz-Standardschriftart11111"/>
    <w:rsid w:val="001F330F"/>
  </w:style>
  <w:style w:type="character" w:customStyle="1" w:styleId="WW-Absatz-Standardschriftart111111">
    <w:name w:val="WW-Absatz-Standardschriftart111111"/>
    <w:rsid w:val="001F330F"/>
  </w:style>
  <w:style w:type="character" w:customStyle="1" w:styleId="WW-Absatz-Standardschriftart1111111">
    <w:name w:val="WW-Absatz-Standardschriftart1111111"/>
    <w:rsid w:val="001F330F"/>
  </w:style>
  <w:style w:type="character" w:customStyle="1" w:styleId="WW-Absatz-Standardschriftart11111111">
    <w:name w:val="WW-Absatz-Standardschriftart11111111"/>
    <w:rsid w:val="001F330F"/>
  </w:style>
  <w:style w:type="character" w:customStyle="1" w:styleId="WW-Absatz-Standardschriftart111111111">
    <w:name w:val="WW-Absatz-Standardschriftart111111111"/>
    <w:rsid w:val="001F330F"/>
  </w:style>
  <w:style w:type="character" w:customStyle="1" w:styleId="WW-Absatz-Standardschriftart1111111111">
    <w:name w:val="WW-Absatz-Standardschriftart1111111111"/>
    <w:rsid w:val="001F330F"/>
  </w:style>
  <w:style w:type="character" w:customStyle="1" w:styleId="Symbolewypunktowania">
    <w:name w:val="Symbole wypunktowania"/>
    <w:rsid w:val="001F330F"/>
    <w:rPr>
      <w:rFonts w:ascii="OpenSymbol" w:eastAsia="OpenSymbol" w:hAnsi="OpenSymbol" w:cs="OpenSymbol"/>
    </w:rPr>
  </w:style>
  <w:style w:type="paragraph" w:customStyle="1" w:styleId="Nagwek20">
    <w:name w:val="Nagłówek2"/>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1F330F"/>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1F330F"/>
    <w:rPr>
      <w:rFonts w:ascii="Times New Roman" w:eastAsia="Andale Sans UI" w:hAnsi="Times New Roman" w:cs="Times New Roman"/>
      <w:kern w:val="1"/>
      <w:sz w:val="24"/>
      <w:szCs w:val="24"/>
      <w:lang w:eastAsia="pl-PL"/>
    </w:rPr>
  </w:style>
  <w:style w:type="paragraph" w:styleId="Lista">
    <w:name w:val="List"/>
    <w:basedOn w:val="Tekstpodstawowy"/>
    <w:rsid w:val="001F330F"/>
    <w:rPr>
      <w:rFonts w:cs="Tahoma"/>
    </w:rPr>
  </w:style>
  <w:style w:type="paragraph" w:customStyle="1" w:styleId="Podpis2">
    <w:name w:val="Podpis2"/>
    <w:basedOn w:val="Normalny"/>
    <w:rsid w:val="001F330F"/>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1F330F"/>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1F330F"/>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1F330F"/>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1F330F"/>
    <w:rPr>
      <w:rFonts w:ascii="Arial" w:eastAsia="Andale Sans UI" w:hAnsi="Arial" w:cs="Times New Roman"/>
      <w:kern w:val="1"/>
      <w:sz w:val="28"/>
      <w:szCs w:val="28"/>
      <w:lang w:eastAsia="pl-PL"/>
    </w:rPr>
  </w:style>
  <w:style w:type="paragraph" w:customStyle="1" w:styleId="Zawartotabeli">
    <w:name w:val="Zawartość tabeli"/>
    <w:basedOn w:val="Normalny"/>
    <w:rsid w:val="001F330F"/>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1F330F"/>
    <w:pPr>
      <w:jc w:val="center"/>
    </w:pPr>
    <w:rPr>
      <w:b/>
      <w:bCs/>
    </w:rPr>
  </w:style>
  <w:style w:type="paragraph" w:customStyle="1" w:styleId="Skrconyadreszwrotny">
    <w:name w:val="Skrócony adres zwrotny"/>
    <w:basedOn w:val="Normalny"/>
    <w:rsid w:val="001F330F"/>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1F330F"/>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1F330F"/>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1F330F"/>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1F330F"/>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1F330F"/>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1F330F"/>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1F330F"/>
    <w:rPr>
      <w:sz w:val="16"/>
      <w:szCs w:val="16"/>
    </w:rPr>
  </w:style>
  <w:style w:type="paragraph" w:styleId="Tekstkomentarza">
    <w:name w:val="annotation text"/>
    <w:basedOn w:val="Normalny"/>
    <w:link w:val="TekstkomentarzaZnak"/>
    <w:uiPriority w:val="99"/>
    <w:semiHidden/>
    <w:unhideWhenUsed/>
    <w:rsid w:val="001F330F"/>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1F330F"/>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F330F"/>
    <w:rPr>
      <w:b/>
      <w:bCs/>
    </w:rPr>
  </w:style>
  <w:style w:type="character" w:customStyle="1" w:styleId="TematkomentarzaZnak">
    <w:name w:val="Temat komentarza Znak"/>
    <w:basedOn w:val="TekstkomentarzaZnak"/>
    <w:link w:val="Tematkomentarza"/>
    <w:uiPriority w:val="99"/>
    <w:semiHidden/>
    <w:rsid w:val="001F330F"/>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1F330F"/>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1F330F"/>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1F330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1F33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1F330F"/>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1F33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F330F"/>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1F330F"/>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1F330F"/>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1F330F"/>
    <w:rPr>
      <w:rFonts w:cs="Times New Roman"/>
      <w:lang w:eastAsia="hi-IN" w:bidi="hi-IN"/>
    </w:rPr>
  </w:style>
  <w:style w:type="paragraph" w:styleId="NormalnyWeb">
    <w:name w:val="Normal (Web)"/>
    <w:basedOn w:val="Normalny"/>
    <w:rsid w:val="001F330F"/>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1F330F"/>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34"/>
    <w:qFormat/>
    <w:rsid w:val="001F330F"/>
    <w:pPr>
      <w:ind w:left="720"/>
      <w:contextualSpacing/>
    </w:pPr>
    <w:rPr>
      <w:rFonts w:ascii="Calibri" w:eastAsia="Calibri" w:hAnsi="Calibri" w:cs="Times New Roman"/>
    </w:rPr>
  </w:style>
  <w:style w:type="character" w:customStyle="1" w:styleId="hps">
    <w:name w:val="hps"/>
    <w:rsid w:val="001F330F"/>
  </w:style>
  <w:style w:type="paragraph" w:customStyle="1" w:styleId="Akapitzlist1">
    <w:name w:val="Akapit z listą1"/>
    <w:basedOn w:val="Normalny"/>
    <w:rsid w:val="001F330F"/>
    <w:pPr>
      <w:ind w:left="720"/>
    </w:pPr>
    <w:rPr>
      <w:rFonts w:ascii="Calibri" w:eastAsia="Times New Roman" w:hAnsi="Calibri" w:cs="Times New Roman"/>
      <w:szCs w:val="20"/>
      <w:lang w:eastAsia="pl-PL"/>
    </w:rPr>
  </w:style>
  <w:style w:type="paragraph" w:customStyle="1" w:styleId="pkt">
    <w:name w:val="pkt"/>
    <w:basedOn w:val="Normalny"/>
    <w:rsid w:val="001F330F"/>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1F330F"/>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1F330F"/>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1F330F"/>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1F330F"/>
    <w:rPr>
      <w:rFonts w:ascii="Garamond" w:eastAsia="Times New Roman" w:hAnsi="Garamond" w:cs="Times New Roman"/>
      <w:b/>
      <w:kern w:val="3"/>
      <w:lang w:eastAsia="zh-CN"/>
    </w:rPr>
  </w:style>
  <w:style w:type="numbering" w:customStyle="1" w:styleId="WW8Num2">
    <w:name w:val="WW8Num2"/>
    <w:rsid w:val="001F330F"/>
    <w:pPr>
      <w:numPr>
        <w:numId w:val="5"/>
      </w:numPr>
    </w:pPr>
  </w:style>
  <w:style w:type="paragraph" w:styleId="Podtytu">
    <w:name w:val="Subtitle"/>
    <w:basedOn w:val="Normalny"/>
    <w:next w:val="Normalny"/>
    <w:link w:val="PodtytuZnak"/>
    <w:uiPriority w:val="11"/>
    <w:qFormat/>
    <w:rsid w:val="001F330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1F330F"/>
    <w:rPr>
      <w:rFonts w:asciiTheme="majorHAnsi" w:eastAsiaTheme="majorEastAsia" w:hAnsiTheme="majorHAnsi" w:cstheme="majorBidi"/>
      <w:i/>
      <w:iCs/>
      <w:color w:val="4472C4"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1F330F"/>
    <w:rPr>
      <w:rFonts w:ascii="Calibri" w:eastAsia="Calibri" w:hAnsi="Calibri" w:cs="Times New Roman"/>
    </w:rPr>
  </w:style>
  <w:style w:type="paragraph" w:customStyle="1" w:styleId="Normalny1">
    <w:name w:val="Normalny1"/>
    <w:rsid w:val="00687F7A"/>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character" w:customStyle="1" w:styleId="FontStyle58">
    <w:name w:val="Font Style58"/>
    <w:rsid w:val="009A6677"/>
    <w:rPr>
      <w:rFonts w:ascii="Times New Roman" w:hAnsi="Times New Roman" w:cs="Times New Roman"/>
      <w:sz w:val="16"/>
      <w:szCs w:val="16"/>
    </w:rPr>
  </w:style>
  <w:style w:type="character" w:customStyle="1" w:styleId="Bodytext211pt">
    <w:name w:val="Body text (2) + 11 pt"/>
    <w:uiPriority w:val="99"/>
    <w:rsid w:val="009B5B48"/>
    <w:rPr>
      <w:rFonts w:ascii="Times New Roman" w:hAnsi="Times New Roman"/>
      <w:color w:val="000000"/>
      <w:spacing w:val="0"/>
      <w:w w:val="100"/>
      <w:position w:val="0"/>
      <w:sz w:val="22"/>
      <w:u w:val="none"/>
      <w:lang w:val="pl-PL" w:eastAsia="pl-PL"/>
    </w:rPr>
  </w:style>
  <w:style w:type="character" w:customStyle="1" w:styleId="Bodytext">
    <w:name w:val="Body text_"/>
    <w:link w:val="Tekstpodstawowy1"/>
    <w:rsid w:val="008A37D1"/>
    <w:rPr>
      <w:rFonts w:eastAsia="Calibri"/>
      <w:sz w:val="16"/>
      <w:szCs w:val="16"/>
      <w:shd w:val="clear" w:color="auto" w:fill="FFFFFF"/>
    </w:rPr>
  </w:style>
  <w:style w:type="paragraph" w:customStyle="1" w:styleId="Tekstpodstawowy1">
    <w:name w:val="Tekst podstawowy1"/>
    <w:basedOn w:val="Normalny"/>
    <w:link w:val="Bodytext"/>
    <w:rsid w:val="008A37D1"/>
    <w:pPr>
      <w:shd w:val="clear" w:color="auto" w:fill="FFFFFF"/>
      <w:spacing w:before="60" w:after="60" w:line="0" w:lineRule="atLeast"/>
    </w:pPr>
    <w:rPr>
      <w:rFonts w:eastAsia="Calibri"/>
      <w:sz w:val="16"/>
      <w:szCs w:val="16"/>
    </w:rPr>
  </w:style>
  <w:style w:type="character" w:customStyle="1" w:styleId="BodytextBold">
    <w:name w:val="Body text + Bold"/>
    <w:rsid w:val="008A37D1"/>
    <w:rPr>
      <w:rFonts w:ascii="Calibri" w:eastAsia="Calibri" w:hAnsi="Calibri" w:cs="Calibri"/>
      <w:b/>
      <w:bCs/>
      <w:i w:val="0"/>
      <w:iCs w:val="0"/>
      <w:smallCaps w:val="0"/>
      <w:strike w:val="0"/>
      <w:spacing w:val="0"/>
      <w:sz w:val="16"/>
      <w:szCs w:val="16"/>
      <w:shd w:val="clear" w:color="auto" w:fill="FFFFFF"/>
    </w:rPr>
  </w:style>
  <w:style w:type="character" w:customStyle="1" w:styleId="Heading2">
    <w:name w:val="Heading #2_"/>
    <w:link w:val="Heading20"/>
    <w:rsid w:val="008A37D1"/>
    <w:rPr>
      <w:rFonts w:eastAsia="Calibri"/>
      <w:sz w:val="18"/>
      <w:szCs w:val="18"/>
      <w:shd w:val="clear" w:color="auto" w:fill="FFFFFF"/>
    </w:rPr>
  </w:style>
  <w:style w:type="paragraph" w:customStyle="1" w:styleId="Heading20">
    <w:name w:val="Heading #2"/>
    <w:basedOn w:val="Normalny"/>
    <w:link w:val="Heading2"/>
    <w:rsid w:val="008A37D1"/>
    <w:pPr>
      <w:shd w:val="clear" w:color="auto" w:fill="FFFFFF"/>
      <w:spacing w:after="0" w:line="241" w:lineRule="exact"/>
      <w:outlineLvl w:val="1"/>
    </w:pPr>
    <w:rPr>
      <w:rFonts w:eastAsia="Calibri"/>
      <w:sz w:val="18"/>
      <w:szCs w:val="18"/>
    </w:rPr>
  </w:style>
  <w:style w:type="character" w:customStyle="1" w:styleId="Heading28ptBold">
    <w:name w:val="Heading #2 + 8 pt;Bold"/>
    <w:rsid w:val="008A37D1"/>
    <w:rPr>
      <w:rFonts w:ascii="Calibri" w:eastAsia="Calibri" w:hAnsi="Calibri" w:cs="Calibri"/>
      <w:b/>
      <w:bCs/>
      <w:i w:val="0"/>
      <w:iCs w:val="0"/>
      <w:smallCaps w:val="0"/>
      <w:strike w:val="0"/>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AC9F8-DFAC-4665-ABAE-6B8F38DC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1397</Words>
  <Characters>8387</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Sopel</dc:creator>
  <cp:lastModifiedBy>Anna Matys</cp:lastModifiedBy>
  <cp:revision>36</cp:revision>
  <dcterms:created xsi:type="dcterms:W3CDTF">2019-07-08T09:12:00Z</dcterms:created>
  <dcterms:modified xsi:type="dcterms:W3CDTF">2019-07-09T06:09:00Z</dcterms:modified>
</cp:coreProperties>
</file>