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902A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A902A3" w:rsidRPr="009B3B77" w:rsidRDefault="00A902A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A902A3" w:rsidRPr="009B3B77" w:rsidTr="009B3B77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172D3D" w:rsidRPr="00346165" w:rsidRDefault="00172D3D" w:rsidP="00172D3D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346165">
              <w:rPr>
                <w:rFonts w:ascii="Garamond" w:hAnsi="Garamond"/>
                <w:b/>
                <w:sz w:val="22"/>
                <w:szCs w:val="22"/>
              </w:rPr>
              <w:t>Dostawa defibrylatorów przeznaczonych dla Nowej Siedziby Szpitala Uniwersyteckiego (NSSU) wraz z instalacją, uruchomieniem oraz szkoleniem personelu.</w:t>
            </w:r>
          </w:p>
          <w:p w:rsidR="00A902A3" w:rsidRPr="00F10E2D" w:rsidRDefault="00E51251" w:rsidP="00A902A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Część 2</w:t>
            </w:r>
            <w:r w:rsidR="00A902A3" w:rsidRPr="00F10E2D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E10DA" w:rsidRPr="00EE10DA">
              <w:rPr>
                <w:rFonts w:ascii="Garamond" w:hAnsi="Garamond"/>
                <w:b/>
                <w:sz w:val="22"/>
                <w:szCs w:val="22"/>
              </w:rPr>
              <w:t>Defibrylatory typ 2</w:t>
            </w:r>
            <w:r w:rsidR="00EE10DA">
              <w:rPr>
                <w:rFonts w:ascii="Garamond" w:hAnsi="Garamond"/>
                <w:b/>
                <w:sz w:val="22"/>
                <w:szCs w:val="22"/>
              </w:rPr>
              <w:t xml:space="preserve"> – 5 szt.</w:t>
            </w:r>
          </w:p>
        </w:tc>
      </w:tr>
    </w:tbl>
    <w:p w:rsidR="00A902A3" w:rsidRPr="009B3B77" w:rsidRDefault="00A902A3" w:rsidP="007B77B0">
      <w:pPr>
        <w:pStyle w:val="Skrconyadreszwrotny"/>
        <w:spacing w:line="288" w:lineRule="auto"/>
        <w:rPr>
          <w:rFonts w:ascii="Garamond" w:hAnsi="Garamond"/>
          <w:sz w:val="22"/>
          <w:szCs w:val="22"/>
        </w:rPr>
      </w:pPr>
    </w:p>
    <w:p w:rsidR="00320EBB" w:rsidRPr="009B3B77" w:rsidRDefault="0097030B" w:rsidP="00320EBB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Uwagi i objaśnienia: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320EBB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C23B01" w:rsidRPr="009B3B77" w:rsidRDefault="00C23B01" w:rsidP="00320EBB">
      <w:pPr>
        <w:pStyle w:val="Skrconyadreszwrotny"/>
        <w:numPr>
          <w:ilvl w:val="0"/>
          <w:numId w:val="12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9B3B77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9B3B77">
        <w:rPr>
          <w:rFonts w:ascii="Garamond" w:hAnsi="Garamond"/>
          <w:sz w:val="22"/>
          <w:szCs w:val="22"/>
        </w:rPr>
        <w:t>rekondycjonowany</w:t>
      </w:r>
      <w:proofErr w:type="spellEnd"/>
      <w:r w:rsidRPr="009B3B77">
        <w:rPr>
          <w:rFonts w:ascii="Garamond" w:hAnsi="Garamond"/>
          <w:sz w:val="22"/>
          <w:szCs w:val="22"/>
        </w:rPr>
        <w:t>, używany,</w:t>
      </w:r>
      <w:r w:rsidR="00320EBB" w:rsidRPr="009B3B77">
        <w:rPr>
          <w:rFonts w:ascii="Garamond" w:hAnsi="Garamond"/>
          <w:sz w:val="22"/>
          <w:szCs w:val="22"/>
        </w:rPr>
        <w:t xml:space="preserve"> powystawowy,  jest kompletny i </w:t>
      </w:r>
      <w:r w:rsidRPr="009B3B77">
        <w:rPr>
          <w:rFonts w:ascii="Garamond" w:hAnsi="Garamond"/>
          <w:sz w:val="22"/>
          <w:szCs w:val="22"/>
        </w:rPr>
        <w:t>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E258BE" w:rsidRPr="009B3B77" w:rsidTr="00320EBB">
        <w:trPr>
          <w:trHeight w:val="652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8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4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54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E258BE" w:rsidRPr="009B3B77" w:rsidTr="00320EBB">
        <w:trPr>
          <w:trHeight w:val="629"/>
        </w:trPr>
        <w:tc>
          <w:tcPr>
            <w:tcW w:w="3936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E258BE" w:rsidRPr="009B3B77" w:rsidRDefault="00E258BE" w:rsidP="00E258BE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9B3B77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2038BD" w:rsidRPr="009B3B77" w:rsidRDefault="002038BD" w:rsidP="002038BD">
      <w:pPr>
        <w:autoSpaceDN w:val="0"/>
        <w:rPr>
          <w:rFonts w:ascii="Garamond" w:hAnsi="Garamond"/>
          <w:kern w:val="3"/>
          <w:sz w:val="22"/>
          <w:szCs w:val="22"/>
          <w:lang w:eastAsia="zh-CN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:rsidR="009B3B77" w:rsidRPr="009B3B77" w:rsidRDefault="009B3B77" w:rsidP="009B3B77">
      <w:pPr>
        <w:pStyle w:val="Standard"/>
        <w:spacing w:after="120" w:line="276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PODSTAWOWE:</w:t>
            </w:r>
          </w:p>
          <w:p w:rsidR="009B3B77" w:rsidRPr="009B3B77" w:rsidRDefault="00F10E2D" w:rsidP="00043B49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</w:t>
            </w:r>
            <w:r w:rsidR="00043B49">
              <w:rPr>
                <w:rFonts w:ascii="Garamond" w:hAnsi="Garamond"/>
                <w:b/>
                <w:sz w:val="22"/>
                <w:szCs w:val="22"/>
              </w:rPr>
              <w:t>defibrylatorów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przeznaczonych dla </w:t>
            </w:r>
            <w:r w:rsidR="0022451D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B3B77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55179">
              <w:rPr>
                <w:rFonts w:ascii="Garamond" w:hAnsi="Garamond"/>
                <w:color w:val="000000"/>
                <w:sz w:val="22"/>
                <w:szCs w:val="22"/>
              </w:rPr>
              <w:t>Defibrylatory typ 2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9B3B77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B3B77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B3B77" w:rsidRPr="009B3B77" w:rsidTr="009B3B77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B3B77" w:rsidRPr="009B3B77" w:rsidTr="009B3B77">
        <w:tc>
          <w:tcPr>
            <w:tcW w:w="5210" w:type="dxa"/>
            <w:tcBorders>
              <w:lef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9B3B77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B3B77" w:rsidRPr="009B3B77" w:rsidRDefault="009B3B77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B3B77" w:rsidRPr="009B3B77" w:rsidRDefault="009B3B77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B3B77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55179">
              <w:rPr>
                <w:rFonts w:ascii="Garamond" w:hAnsi="Garamond"/>
                <w:color w:val="000000"/>
                <w:sz w:val="22"/>
                <w:szCs w:val="22"/>
              </w:rPr>
              <w:t>Defibrylatory typ 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055179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3B77" w:rsidRPr="009B3B77" w:rsidRDefault="009B3B77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77" w:rsidRPr="009B3B77" w:rsidRDefault="009B3B77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</w:rPr>
      </w:pPr>
    </w:p>
    <w:p w:rsidR="009B3B77" w:rsidRPr="009B3B77" w:rsidRDefault="009B3B77" w:rsidP="009B3B77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9B3B77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B3B77" w:rsidRPr="009B3B77" w:rsidRDefault="009B3B77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B3B77" w:rsidRPr="009B3B77" w:rsidRDefault="009B3B77" w:rsidP="009B3B77">
      <w:pPr>
        <w:rPr>
          <w:rFonts w:ascii="Garamond" w:hAnsi="Garamond"/>
          <w:b/>
        </w:rPr>
      </w:pPr>
    </w:p>
    <w:p w:rsidR="009B3B77" w:rsidRPr="00E6764C" w:rsidRDefault="009B3B77" w:rsidP="009B3B77">
      <w:pPr>
        <w:pStyle w:val="Skrconyadreszwrotny"/>
        <w:rPr>
          <w:sz w:val="22"/>
          <w:szCs w:val="22"/>
        </w:rPr>
      </w:pPr>
    </w:p>
    <w:p w:rsidR="00A957A9" w:rsidRPr="00A957A9" w:rsidRDefault="00A957A9" w:rsidP="00A957A9">
      <w:pPr>
        <w:autoSpaceDN w:val="0"/>
        <w:spacing w:line="288" w:lineRule="auto"/>
        <w:textAlignment w:val="baseline"/>
        <w:rPr>
          <w:rFonts w:ascii="Century Gothic" w:eastAsia="Lucida Sans Unicode" w:hAnsi="Century Gothic" w:cs="Mangal"/>
          <w:kern w:val="3"/>
          <w:sz w:val="20"/>
          <w:szCs w:val="20"/>
          <w:lang w:eastAsia="zh-CN" w:bidi="hi-IN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2"/>
        <w:gridCol w:w="6524"/>
        <w:gridCol w:w="1701"/>
        <w:gridCol w:w="3684"/>
        <w:gridCol w:w="2409"/>
      </w:tblGrid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bCs/>
                <w:kern w:val="1"/>
                <w:sz w:val="22"/>
                <w:szCs w:val="22"/>
                <w:lang w:eastAsia="pl-PL"/>
              </w:rPr>
              <w:t>PARAMETRY TECHNICZNE I EKSPLOATACYJNE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OCENA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Defibrylator w systemie dwufazowym, z możliwością monitorowania                     i zapisu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ekg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, wyposażony  w rejestrator.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Możliwość przenoszenia danych z defibrylatora do komputera.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Tryby pracy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ręczny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- AED półautomatyczny 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kardiowersja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Kardiostymulacja przezskórna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Pomiar saturacji SpO2 (czujniki pracujące w standardzie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Nellcor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lub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Masimo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– do określenia na etapie dostawy lub w standardzie producenta) we wszystkich aparatach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ciśnienia NIBP we wszystkich aparatach wraz z kompletem 3 mankietów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kapnografii w 2 aparatach wraz z zestawem do pomiaru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Pomiar ciśnienia IBP w 2 aparatach wraz zestawem do pomiaru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Pomiar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SpCO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SpMet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we wszystkich aparatach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2 pkt</w:t>
            </w:r>
          </w:p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nie – 0 pkt</w:t>
            </w:r>
          </w:p>
        </w:tc>
      </w:tr>
      <w:tr w:rsidR="00A957A9" w:rsidRPr="00A957A9" w:rsidTr="00803FCC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Wszystkie aparaty wyposażone jest w moduł umożliwiający transmisję  danych zapisu 12-odprowadzęń EKG do  aplikacji odbiorczych znajdujących się  w Pracowniach Hemodynamiki - w  ramach istniejącego jednolitego systemu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telemedycznego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w ostrych zespołach wieńcowych w Małopolsce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5 pkt</w:t>
            </w:r>
          </w:p>
          <w:p w:rsidR="00A957A9" w:rsidRPr="00A957A9" w:rsidRDefault="00A957A9" w:rsidP="00A957A9">
            <w:pPr>
              <w:suppressAutoHyphens w:val="0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nie – 0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energii defibrylacji w trybie ręcznym [J]  w zakresie  (5-200)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największy zakres – 3 pkt, wymagane – 0 pkt,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inne proporcjonalnie mniej, względem największej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ładowania do energii  200 {J}[s] nie dłużej niż 9 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najkrótszy czas – 3 pkt,</w:t>
            </w:r>
          </w:p>
          <w:p w:rsidR="00A957A9" w:rsidRPr="00A957A9" w:rsidRDefault="00A957A9" w:rsidP="00A957A9">
            <w:pPr>
              <w:widowControl w:val="0"/>
              <w:suppressLineNumbers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wymagane – 0 pkt,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inne proporcjonalnie mniej, względem najlepszej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Możliwość defibrylacji przy użyciu odpowiednich elektrod samoprzylepnych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Komendy głosowe prowadzące proces reanimacji w polskiej wersji </w:t>
            </w: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lastRenderedPageBreak/>
              <w:t xml:space="preserve">językowej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Akustyczny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kern w:val="1"/>
                <w:sz w:val="22"/>
                <w:szCs w:val="22"/>
                <w:lang w:eastAsia="pl-PL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Optyczny sygnał gotowości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Elektrody zewnętrzne dla dorosłych (łyżki) do każdego defibrylatora, jak również dla dzieci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sz w:val="22"/>
                <w:szCs w:val="22"/>
                <w:lang w:eastAsia="fa-IR" w:bidi="fa-IR"/>
              </w:rPr>
            </w:pPr>
            <w:r w:rsidRPr="00A957A9">
              <w:rPr>
                <w:rFonts w:eastAsia="Andale Sans UI"/>
                <w:sz w:val="22"/>
                <w:szCs w:val="22"/>
                <w:lang w:eastAsia="fa-IR" w:bidi="fa-IR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Kabel  wraz z elektrodami samoprzylepnymi  jednorazowego użytku do defibrylacji (1 komplet elektrod dla dorosłych do każdego defibrylatora)</w:t>
            </w:r>
          </w:p>
          <w:p w:rsidR="00BE1A55" w:rsidRPr="00A957A9" w:rsidRDefault="00BE1A55" w:rsidP="00BE1A55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BE1A55">
              <w:rPr>
                <w:rFonts w:eastAsiaTheme="minorHAnsi"/>
                <w:color w:val="FF0000"/>
                <w:kern w:val="0"/>
                <w:sz w:val="22"/>
                <w:szCs w:val="22"/>
                <w:lang w:eastAsia="en-US"/>
              </w:rPr>
              <w:t xml:space="preserve">Materiały eksploatacyjne o krótkim terminie przydatności powinny posiadać pełny okres przydatności do  użycia w terminie instalacji                 </w:t>
            </w:r>
            <w:r w:rsidR="00823DC6">
              <w:rPr>
                <w:rFonts w:eastAsiaTheme="minorHAnsi"/>
                <w:color w:val="FF0000"/>
                <w:kern w:val="0"/>
                <w:sz w:val="22"/>
                <w:szCs w:val="22"/>
                <w:lang w:eastAsia="en-US"/>
              </w:rPr>
              <w:t>i uruchomienia  w Nowej Siedzibie</w:t>
            </w:r>
            <w:bookmarkStart w:id="0" w:name="_GoBack"/>
            <w:bookmarkEnd w:id="0"/>
            <w:r w:rsidRPr="00BE1A55">
              <w:rPr>
                <w:rFonts w:eastAsiaTheme="minorHAnsi"/>
                <w:color w:val="FF0000"/>
                <w:kern w:val="0"/>
                <w:sz w:val="22"/>
                <w:szCs w:val="22"/>
                <w:lang w:eastAsia="en-US"/>
              </w:rPr>
              <w:t xml:space="preserve"> Szpitala Uniwersyteckiego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Monitorowanie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Izolowane wzmacniacze dla EKG - klasa CF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Sygnał EKG z elektrod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defibrylacyjnych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 i z elektrod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Zabezpieczenia przed impulsem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defibrylacyjnym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Odprowadzenia EKG - minimum: I,II,III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Przewód EKG min. 3-odprowadzeniowy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Możliwość defibrylacji wewnętrznej po podłączeniu odpowiednich elektrod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 – 2 pkt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nie – 0 pkt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Wzmocnienie EKG [mm/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mV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] (5 do 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Filtry przeciwzakłóceniowe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Kolorowy ekran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Przekątna ekranu min 5,5[”]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Opisy na ekranie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pomiaru częstości akcji serca [ilość uderzeń/min]   (30-300)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Sygnalizacja akustyczna rytmu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Alarmy przekroczenia granicy górnej i dolnej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val="en-US" w:eastAsia="en-US"/>
              </w:rPr>
              <w:t>tak</w:t>
            </w:r>
            <w:proofErr w:type="spellEnd"/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val="en-US"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Rejestrator typu termicznego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Możliwość stosowania papieru o szerokości min. 50 [mm]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Rejestrowane dane: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data i czas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energia wyładowania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częstość rytmu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odprowadzenie EKG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Zasilanie: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sieciowe ~ 230 [V] 50/60 [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Hz</w:t>
            </w:r>
            <w:proofErr w:type="spellEnd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] AC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bateryjne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Pojemność baterii:</w:t>
            </w:r>
          </w:p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ilość wyładowań z  maksymalną energią – min. 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największa ilość – 3 pkt, wymagane – 0 pkt, inne proporcjonalnie mniej, względem największej wartości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ładowania baterii od 0 do 100 %  max. 4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najkrótszy czas – 3 pkt, wymagane – 0 pkt, inne proporcjonalnie mniej względem najkrótszego czasu</w:t>
            </w:r>
          </w:p>
        </w:tc>
      </w:tr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kern w:val="0"/>
                <w:sz w:val="22"/>
                <w:szCs w:val="22"/>
                <w:lang w:eastAsia="en-US"/>
              </w:rPr>
              <w:lastRenderedPageBreak/>
              <w:t>Inne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Masa całkowita defibrylatora gotowego do pracy, z akumulatorem               i łyżkami twardymi 9 [kg]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najniższa waga – 3 pkt, wymagana – 0 pkt, inne proporcjonalnie mnie względem najniższej wagi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Zakres temperatur w miejscu pracy 5-40[°C]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Możliwość przeprowadzenia przez defibrylator  codziennego </w:t>
            </w:r>
            <w:proofErr w:type="spellStart"/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autotestu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3"/>
              </w:numPr>
              <w:suppressLineNumbers/>
              <w:suppressAutoHyphens w:val="0"/>
              <w:snapToGrid w:val="0"/>
              <w:spacing w:after="200" w:line="276" w:lineRule="auto"/>
              <w:jc w:val="center"/>
              <w:rPr>
                <w:rFonts w:eastAsia="Andale Sans UI"/>
                <w:color w:val="000000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Wózek pod aparat wyposażony w stację dokującą/system mocowania pozwalający na szybki montaż i demontaż urządzenia                                 z zabezpieczeniem przed przypadkowym wypadnięciem – do każdego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</w:tbl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A957A9" w:rsidRPr="00A957A9" w:rsidTr="00803FC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bCs/>
                <w:kern w:val="1"/>
                <w:sz w:val="22"/>
                <w:szCs w:val="22"/>
                <w:lang w:eastAsia="pl-PL"/>
              </w:rPr>
              <w:t>WARUNKI GWARANCJI I SERWISU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SPOSÓB OCENY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spacing w:after="12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Okres pełnej, bez </w:t>
            </w:r>
            <w:proofErr w:type="spellStart"/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wyłączeń</w:t>
            </w:r>
            <w:proofErr w:type="spellEnd"/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 gwarancji dla wszystkich zaoferowanych elementów.</w:t>
            </w:r>
          </w:p>
          <w:p w:rsidR="00A957A9" w:rsidRPr="00A957A9" w:rsidRDefault="00A957A9" w:rsidP="00A957A9">
            <w:pPr>
              <w:widowControl w:val="0"/>
              <w:suppressLineNumbers/>
              <w:snapToGrid w:val="0"/>
              <w:jc w:val="both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iCs/>
                <w:color w:val="000000" w:themeColor="text1"/>
                <w:kern w:val="1"/>
                <w:sz w:val="22"/>
                <w:szCs w:val="22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  <w:r w:rsidRPr="00A957A9"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en-US"/>
              </w:rPr>
              <w:t>najdłuższy okres – 5 pkt, wymagane – 0 pkt, inne proporcjonalnie mniej, względem najdłuższego okresu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Gwarancja dostępności części zamiennych [liczba lat] – min. 10 lat (peryferyjny sprzęt komputerowy – min. 5 lat, dopuszcza się wymianę na sprzęt lepszy od zaoferowanego).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Przedłużenie okresu gwarancji o każdy dzień, w czasie którego Zamawiający nie mógł korzystać w pełni sprawnego sprzętu.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color w:val="000000" w:themeColor="text1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b/>
                <w:kern w:val="1"/>
                <w:sz w:val="22"/>
                <w:szCs w:val="22"/>
                <w:lang w:eastAsia="pl-PL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1 dzień– 5 pkt;</w:t>
            </w:r>
          </w:p>
          <w:p w:rsidR="00A957A9" w:rsidRPr="00A957A9" w:rsidRDefault="00A957A9" w:rsidP="00A957A9">
            <w:pPr>
              <w:suppressAutoHyphens w:val="0"/>
              <w:snapToGrid w:val="0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2 dni – 0 pkt,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 xml:space="preserve">W ramach ceny: przeglądy w okresie gwarancji (zgodnie z wymogami 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color w:val="000000" w:themeColor="text1"/>
                <w:kern w:val="0"/>
                <w:sz w:val="22"/>
                <w:szCs w:val="22"/>
              </w:rPr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BE1A55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BE1A55">
              <w:rPr>
                <w:rFonts w:eastAsia="Calibri"/>
                <w:color w:val="FF0000"/>
                <w:kern w:val="0"/>
                <w:sz w:val="22"/>
                <w:szCs w:val="22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Ilość przeglądów okresowych koniecznych do wykonywania po upływie okresu gwarancyjnego w celu zapewnienia sprawnej pracy aparatu                 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BE1A55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BE1A55">
              <w:rPr>
                <w:rFonts w:eastAsia="Calibri"/>
                <w:color w:val="FF0000"/>
                <w:kern w:val="0"/>
                <w:sz w:val="22"/>
                <w:szCs w:val="22"/>
              </w:rPr>
              <w:t>jeden – 5 pkt,                    więcej – 0 pkt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200" w:line="276" w:lineRule="auto"/>
              <w:jc w:val="both"/>
              <w:rPr>
                <w:rFonts w:eastAsiaTheme="minorHAnsi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kern w:val="0"/>
                <w:sz w:val="22"/>
                <w:szCs w:val="22"/>
                <w:lang w:eastAsia="en-US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kern w:val="0"/>
                <w:sz w:val="22"/>
                <w:szCs w:val="22"/>
              </w:rPr>
            </w:pPr>
            <w:r w:rsidRPr="00A957A9">
              <w:rPr>
                <w:rFonts w:eastAsia="Calibri"/>
                <w:kern w:val="0"/>
                <w:sz w:val="22"/>
                <w:szCs w:val="22"/>
              </w:rPr>
              <w:t>Szkolenie dla personelu medycznego – 20 osób i technicznego – 2 osoby. Dodatkowe szkolenie dla personelu medycznego w przypadku wyrażenia takiej potrzeby przez personel medyczny – 5 osoby                           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uppressLineNumbers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b/>
                <w:bCs/>
                <w:color w:val="000000" w:themeColor="text1"/>
                <w:kern w:val="0"/>
                <w:sz w:val="22"/>
                <w:szCs w:val="22"/>
                <w:lang w:eastAsia="en-US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autoSpaceDE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Instrukcje obsługi w języku polskim w formie elektronicznej i drukowanej (przekazane w momencie dostawy dla każdego egzemplarza.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Wykonawca w ramach dostawy sprzętu zobowiązuje się dostarczyć komplet akcesoriów, okablowania, itp. asortymentu niezbędnego do uruchomienia i funkcjonowania aparatu,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suppressAutoHyphens w:val="0"/>
              <w:snapToGrid w:val="0"/>
              <w:spacing w:after="12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Dokumentacja (lub tzw. lista kontrolna zawierająca wykaz części i czynności) dotycząca przeglądów technicznych w języku polskim (dostarczona przy dostawie).</w:t>
            </w:r>
          </w:p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UWAGA – dokumentacja musi zapewnić co najmniej pełną diagnostykę urządzenia, wykonywanie drobnych napraw, regulacji, kalibracji, oraz przeglądów okresowych w standardzie wymaganym przez producenta.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Z urządzeniem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pacing w:before="100" w:beforeAutospacing="1" w:after="100" w:afterAutospacing="1" w:line="288" w:lineRule="auto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Instrukcja konserwacji, mycia, dezynfekcji i sterylizacji dostarczona przy dostawie i wskazująca, że czynności te prawidłowo wykonane nie powodują utraty gwarancji.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12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Możliwość mycia i dezynfekcji  aparatów w oparciu o przedstawione przez wykonawcę zalecane preparaty myjące i dezynfekujące.</w:t>
            </w:r>
          </w:p>
          <w:p w:rsidR="00A957A9" w:rsidRPr="00A957A9" w:rsidRDefault="00A957A9" w:rsidP="00A957A9">
            <w:pPr>
              <w:widowControl w:val="0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  <w:tr w:rsidR="00A957A9" w:rsidRPr="00A957A9" w:rsidTr="00803F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numPr>
                <w:ilvl w:val="0"/>
                <w:numId w:val="14"/>
              </w:numPr>
              <w:suppressLineNumbers/>
              <w:suppressAutoHyphens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="Andale Sans UI"/>
                <w:kern w:val="1"/>
                <w:sz w:val="22"/>
                <w:szCs w:val="22"/>
                <w:lang w:eastAsia="pl-PL"/>
              </w:rPr>
            </w:pP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suppressAutoHyphens w:val="0"/>
              <w:spacing w:after="120"/>
              <w:jc w:val="both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 xml:space="preserve">Z uwagi na fakt, iż przedmiot umowy finansowany jest ze środków Unii Europejskiej, faktura po dostawie  musi zawierać wymieniony sprzęt </w:t>
            </w: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lastRenderedPageBreak/>
              <w:t>zgodny, co do nazwy, ze sprzętem wymienionym w opisie przedmiotu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eastAsia="Calibr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A9" w:rsidRPr="00A957A9" w:rsidRDefault="00A957A9" w:rsidP="00A957A9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</w:pPr>
            <w:r w:rsidRPr="00A957A9">
              <w:rPr>
                <w:rFonts w:eastAsiaTheme="minorHAnsi"/>
                <w:color w:val="000000" w:themeColor="text1"/>
                <w:kern w:val="0"/>
                <w:sz w:val="22"/>
                <w:szCs w:val="22"/>
                <w:lang w:eastAsia="en-US"/>
              </w:rPr>
              <w:t>- - -</w:t>
            </w:r>
          </w:p>
        </w:tc>
      </w:tr>
    </w:tbl>
    <w:p w:rsidR="00A957A9" w:rsidRPr="00A957A9" w:rsidRDefault="00A957A9" w:rsidP="00A957A9">
      <w:pPr>
        <w:suppressAutoHyphens w:val="0"/>
        <w:spacing w:line="288" w:lineRule="auto"/>
        <w:jc w:val="both"/>
        <w:rPr>
          <w:rFonts w:eastAsiaTheme="minorHAnsi"/>
          <w:b/>
          <w:color w:val="000000" w:themeColor="text1"/>
          <w:kern w:val="0"/>
          <w:sz w:val="22"/>
          <w:szCs w:val="22"/>
          <w:lang w:eastAsia="en-US"/>
        </w:rPr>
      </w:pPr>
    </w:p>
    <w:p w:rsidR="009B3B77" w:rsidRDefault="009B3B77">
      <w:pPr>
        <w:suppressAutoHyphens w:val="0"/>
        <w:spacing w:after="200" w:line="276" w:lineRule="auto"/>
        <w:rPr>
          <w:rFonts w:ascii="Garamond" w:hAnsi="Garamond"/>
          <w:b/>
          <w:bCs/>
          <w:color w:val="000000" w:themeColor="text1"/>
          <w:sz w:val="22"/>
          <w:szCs w:val="22"/>
        </w:rPr>
      </w:pPr>
    </w:p>
    <w:sectPr w:rsidR="009B3B77" w:rsidSect="00320EBB">
      <w:headerReference w:type="default" r:id="rId7"/>
      <w:footerReference w:type="default" r:id="rId8"/>
      <w:pgSz w:w="16838" w:h="11906" w:orient="landscape"/>
      <w:pgMar w:top="141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9FD" w:rsidRDefault="002129FD" w:rsidP="0097030B">
      <w:r>
        <w:separator/>
      </w:r>
    </w:p>
  </w:endnote>
  <w:endnote w:type="continuationSeparator" w:id="0">
    <w:p w:rsidR="002129FD" w:rsidRDefault="002129FD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B77B0" w:rsidRDefault="007B77B0" w:rsidP="00320EBB">
            <w:pPr>
              <w:pStyle w:val="Stopka"/>
              <w:rPr>
                <w:sz w:val="20"/>
                <w:szCs w:val="20"/>
              </w:rPr>
            </w:pPr>
          </w:p>
          <w:p w:rsidR="007B77B0" w:rsidRDefault="007B77B0" w:rsidP="007B77B0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7B77B0" w:rsidRPr="00320EBB" w:rsidRDefault="007B77B0" w:rsidP="00320EBB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 w:rsidR="00320EBB"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9FD" w:rsidRDefault="002129FD" w:rsidP="0097030B">
      <w:r>
        <w:separator/>
      </w:r>
    </w:p>
  </w:footnote>
  <w:footnote w:type="continuationSeparator" w:id="0">
    <w:p w:rsidR="002129FD" w:rsidRDefault="002129FD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106" w:rsidRDefault="00380106" w:rsidP="00E258B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7DD0E77B" wp14:editId="524D43C8">
          <wp:extent cx="7578090" cy="865505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B77B0" w:rsidRDefault="007B77B0" w:rsidP="007B77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NSSU.DFP.271</w:t>
    </w:r>
    <w:r w:rsidR="009C5615">
      <w:rPr>
        <w:rFonts w:ascii="Garamond" w:hAnsi="Garamond"/>
        <w:kern w:val="0"/>
        <w:sz w:val="22"/>
        <w:szCs w:val="22"/>
        <w:lang w:eastAsia="pl-PL"/>
      </w:rPr>
      <w:t>.17.2018.AJ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                                     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 w:rsidR="009B3B77"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 w:rsidR="009C5615">
      <w:rPr>
        <w:rFonts w:ascii="Garamond" w:hAnsi="Garamond"/>
        <w:b/>
        <w:kern w:val="0"/>
        <w:sz w:val="22"/>
        <w:szCs w:val="22"/>
        <w:lang w:eastAsia="pl-PL"/>
      </w:rPr>
      <w:t>cześć 2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 w:rsid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="00320EBB"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7B77B0" w:rsidRPr="00EA6D32" w:rsidRDefault="007B77B0" w:rsidP="007B77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E864ECA6"/>
    <w:lvl w:ilvl="0" w:tplc="2EBC50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4840"/>
    <w:multiLevelType w:val="hybridMultilevel"/>
    <w:tmpl w:val="97B6C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300798"/>
    <w:multiLevelType w:val="hybridMultilevel"/>
    <w:tmpl w:val="4E58D6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9"/>
  </w:num>
  <w:num w:numId="5">
    <w:abstractNumId w:val="9"/>
  </w:num>
  <w:num w:numId="6">
    <w:abstractNumId w:val="8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43B49"/>
    <w:rsid w:val="00055179"/>
    <w:rsid w:val="000A197A"/>
    <w:rsid w:val="00146AF9"/>
    <w:rsid w:val="00172D3D"/>
    <w:rsid w:val="00194613"/>
    <w:rsid w:val="001B1988"/>
    <w:rsid w:val="002038BD"/>
    <w:rsid w:val="00210989"/>
    <w:rsid w:val="002129FD"/>
    <w:rsid w:val="0021301E"/>
    <w:rsid w:val="0022451D"/>
    <w:rsid w:val="00261EC4"/>
    <w:rsid w:val="002B3EFE"/>
    <w:rsid w:val="00320EBB"/>
    <w:rsid w:val="00330867"/>
    <w:rsid w:val="00380106"/>
    <w:rsid w:val="00386BDE"/>
    <w:rsid w:val="0039239F"/>
    <w:rsid w:val="003B07FE"/>
    <w:rsid w:val="003E7B4E"/>
    <w:rsid w:val="00422218"/>
    <w:rsid w:val="00443C55"/>
    <w:rsid w:val="004602A8"/>
    <w:rsid w:val="004A2FFA"/>
    <w:rsid w:val="004A45D9"/>
    <w:rsid w:val="00532FA0"/>
    <w:rsid w:val="00576431"/>
    <w:rsid w:val="00590294"/>
    <w:rsid w:val="00594E53"/>
    <w:rsid w:val="00695F17"/>
    <w:rsid w:val="006C63E2"/>
    <w:rsid w:val="006F6219"/>
    <w:rsid w:val="007B77B0"/>
    <w:rsid w:val="007D4F6C"/>
    <w:rsid w:val="00823DC6"/>
    <w:rsid w:val="00824B6F"/>
    <w:rsid w:val="00846A22"/>
    <w:rsid w:val="008F3152"/>
    <w:rsid w:val="008F4B4F"/>
    <w:rsid w:val="0092338C"/>
    <w:rsid w:val="0097030B"/>
    <w:rsid w:val="009A6C06"/>
    <w:rsid w:val="009B3B77"/>
    <w:rsid w:val="009C5615"/>
    <w:rsid w:val="009D52B6"/>
    <w:rsid w:val="00A902A3"/>
    <w:rsid w:val="00A957A9"/>
    <w:rsid w:val="00AB60A5"/>
    <w:rsid w:val="00BE1A55"/>
    <w:rsid w:val="00C1514A"/>
    <w:rsid w:val="00C23B01"/>
    <w:rsid w:val="00C311BF"/>
    <w:rsid w:val="00CC2CFE"/>
    <w:rsid w:val="00CD7B98"/>
    <w:rsid w:val="00E258BE"/>
    <w:rsid w:val="00E51251"/>
    <w:rsid w:val="00E63DB3"/>
    <w:rsid w:val="00E65C60"/>
    <w:rsid w:val="00E7368C"/>
    <w:rsid w:val="00EA041F"/>
    <w:rsid w:val="00ED6689"/>
    <w:rsid w:val="00EE10DA"/>
    <w:rsid w:val="00EF6E8A"/>
    <w:rsid w:val="00F10E2D"/>
    <w:rsid w:val="00F5426F"/>
    <w:rsid w:val="00F729E3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21C10F-63DF-4ACA-A2DB-604FF940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1553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3</cp:revision>
  <dcterms:created xsi:type="dcterms:W3CDTF">2018-06-11T10:41:00Z</dcterms:created>
  <dcterms:modified xsi:type="dcterms:W3CDTF">2018-07-04T06:21:00Z</dcterms:modified>
</cp:coreProperties>
</file>