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1870" w:rsidRPr="00821870" w:rsidRDefault="00821870" w:rsidP="00821870">
      <w:pPr>
        <w:spacing w:line="256" w:lineRule="auto"/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821870">
        <w:rPr>
          <w:rFonts w:ascii="Times New Roman" w:eastAsia="Calibri" w:hAnsi="Times New Roman" w:cs="Times New Roman"/>
          <w:b/>
          <w:sz w:val="32"/>
          <w:szCs w:val="32"/>
        </w:rPr>
        <w:t>PRACOWNIA ANALITYKI LEKARSKIEJ</w:t>
      </w:r>
    </w:p>
    <w:p w:rsidR="00821870" w:rsidRPr="00821870" w:rsidRDefault="00821870" w:rsidP="00821870">
      <w:pPr>
        <w:spacing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821870">
        <w:rPr>
          <w:rFonts w:ascii="Times New Roman" w:eastAsia="Calibri" w:hAnsi="Times New Roman" w:cs="Times New Roman"/>
          <w:b/>
          <w:sz w:val="28"/>
          <w:szCs w:val="28"/>
        </w:rPr>
        <w:t>Ul. Kopernika 15b  - tel. 12 424 83 83</w:t>
      </w:r>
    </w:p>
    <w:p w:rsidR="00821870" w:rsidRPr="00821870" w:rsidRDefault="00821870" w:rsidP="00821870">
      <w:pPr>
        <w:spacing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821870">
        <w:rPr>
          <w:rFonts w:ascii="Times New Roman" w:eastAsia="Calibri" w:hAnsi="Times New Roman" w:cs="Times New Roman"/>
          <w:b/>
          <w:sz w:val="28"/>
          <w:szCs w:val="28"/>
        </w:rPr>
        <w:t>Ul</w:t>
      </w:r>
      <w:bookmarkStart w:id="0" w:name="_GoBack"/>
      <w:bookmarkEnd w:id="0"/>
      <w:r w:rsidRPr="00821870">
        <w:rPr>
          <w:rFonts w:ascii="Times New Roman" w:eastAsia="Calibri" w:hAnsi="Times New Roman" w:cs="Times New Roman"/>
          <w:b/>
          <w:sz w:val="28"/>
          <w:szCs w:val="28"/>
        </w:rPr>
        <w:t>. Jakubowskiego 2  - tel. 12 400 36-16, 12 400 36 17, 12 400 36 18</w:t>
      </w:r>
    </w:p>
    <w:p w:rsidR="00821870" w:rsidRPr="00821870" w:rsidRDefault="00821870" w:rsidP="00821870">
      <w:pPr>
        <w:spacing w:line="256" w:lineRule="auto"/>
        <w:jc w:val="center"/>
        <w:rPr>
          <w:rFonts w:ascii="Times New Roman" w:eastAsia="Calibri" w:hAnsi="Times New Roman" w:cs="Times New Roman"/>
          <w:b/>
          <w:color w:val="00B0F0"/>
          <w:sz w:val="28"/>
          <w:szCs w:val="28"/>
        </w:rPr>
      </w:pPr>
      <w:r w:rsidRPr="00821870">
        <w:rPr>
          <w:rFonts w:ascii="Times New Roman" w:eastAsia="Calibri" w:hAnsi="Times New Roman" w:cs="Times New Roman"/>
          <w:b/>
          <w:color w:val="00B0F0"/>
          <w:sz w:val="28"/>
          <w:szCs w:val="28"/>
        </w:rPr>
        <w:t>Badania wykonywane w trybie RUTYNA</w:t>
      </w:r>
    </w:p>
    <w:p w:rsidR="00383817" w:rsidRDefault="00821870"/>
    <w:p w:rsidR="005C3BAC" w:rsidRDefault="005C3BAC"/>
    <w:p w:rsidR="005C3BAC" w:rsidRDefault="005C3BAC"/>
    <w:tbl>
      <w:tblPr>
        <w:tblW w:w="138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67"/>
        <w:gridCol w:w="1358"/>
        <w:gridCol w:w="2269"/>
        <w:gridCol w:w="1985"/>
        <w:gridCol w:w="1559"/>
        <w:gridCol w:w="1417"/>
        <w:gridCol w:w="1560"/>
        <w:gridCol w:w="1246"/>
        <w:gridCol w:w="1305"/>
      </w:tblGrid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Postępowanie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Postępowanie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z materiałami pobranymi do badania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5C3BAC" w:rsidRPr="005C3BAC" w:rsidTr="005C3BAC">
        <w:trPr>
          <w:jc w:val="center"/>
        </w:trPr>
        <w:tc>
          <w:tcPr>
            <w:tcW w:w="138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Badania morfologii krwi obwodowej</w:t>
            </w:r>
            <w:r w:rsidRPr="005C3BAC">
              <w:rPr>
                <w:rFonts w:ascii="Arial" w:eastAsia="Times New Roman" w:hAnsi="Arial" w:cs="Arial"/>
                <w:b/>
                <w:i/>
                <w:color w:val="FF0000"/>
                <w:sz w:val="32"/>
                <w:szCs w:val="32"/>
                <w:lang w:eastAsia="pl-PL"/>
              </w:rPr>
              <w:t>*</w:t>
            </w: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Leukocyty*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4.5 – 10.0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konieczne, wskazane na czczo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żylną wymieszać z antykoagulantem </w:t>
            </w: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(EDTA-2K; EDTA-3K; EDTA-2Na)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Próbkę poddać analizie w ciągu 3 – 4 godzin od pobrania, lub przechowywać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w lodówce (2 - </w:t>
            </w:r>
            <w:smartTag w:uri="urn:schemas-microsoft-com:office:smarttags" w:element="metricconverter">
              <w:smartTagPr>
                <w:attr w:name="ProductID" w:val="8ﾰC"/>
              </w:smartTagPr>
              <w:r w:rsidRPr="005C3BAC">
                <w:rPr>
                  <w:rFonts w:ascii="Arial" w:eastAsia="Times New Roman" w:hAnsi="Arial" w:cs="Arial"/>
                  <w:sz w:val="14"/>
                  <w:szCs w:val="14"/>
                  <w:lang w:eastAsia="pl-PL"/>
                </w:rPr>
                <w:t>8°C</w:t>
              </w:r>
            </w:smartTag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) do czasu wykonania analizy (nie mrozić).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Przed przeprowadzeniem analizy próbki ogrzać do temperatury pokojowej, dokładnie wymieszać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667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Erytrocyty*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impedancyjna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ogniskowaniem hydrodynamicznym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♀ 4.0 – 5.0 10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vertAlign w:val="superscript"/>
                <w:lang w:eastAsia="pl-PL"/>
              </w:rPr>
              <w:t>6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♂ 4.5 – 5.9 10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vertAlign w:val="superscript"/>
                <w:lang w:eastAsia="pl-PL"/>
              </w:rPr>
              <w:t>6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Hemoglobina*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SLS-hemoglobina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♀ 12.0 – 16.0 g/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dL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♂ 14.0 – 18.0 g/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dL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Hematokryt*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kumulacyjnego zliczania impulsów elektrycznych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♀ 37 – 47 %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♂ 40 – 54 %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MCV*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80.0 – 96.0 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MCH*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27.0 – 31.0 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pg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MCHC*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31.0 – 36.0 g/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Płytki krwi*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impedancyjna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ogniskowaniem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hydrodymanicznym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140 – 440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MPV*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9.0 – 12.0 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RDW-SD*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35.1 – 46.3 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RDW-CV*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11.6 – 14.4 %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microR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0.5 – 3.0 %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macroR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3.2 – 11.5 %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HypoHe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0.1 – 1.1 %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HyperHe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0.7 – 1.3 %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PDW*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PLT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9.8 – 16.2 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P-LCR*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PLT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19.5 -  43.8 %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PCT*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częstotliwości rozkładu PLT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0.12 – 0.36 %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C56.103.02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IPF*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0.8 – 6.2 %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LYM*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1.0 – 4.5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20 – 45 %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RE-LYMPH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spacing w:after="0"/>
              <w:rPr>
                <w:rFonts w:ascii="Times New Roman" w:eastAsia="Arial" w:hAnsi="Times New Roman" w:cs="Times New Roman"/>
                <w:b/>
                <w:bCs/>
                <w:iCs/>
                <w:sz w:val="16"/>
                <w:szCs w:val="16"/>
              </w:rPr>
            </w:pPr>
            <w:r w:rsidRPr="005C3BAC">
              <w:rPr>
                <w:rFonts w:ascii="Times New Roman" w:eastAsia="Arial" w:hAnsi="Times New Roman" w:cs="Times New Roman"/>
                <w:bCs/>
                <w:sz w:val="16"/>
                <w:szCs w:val="16"/>
              </w:rPr>
              <w:t xml:space="preserve">♀/♂       </w:t>
            </w:r>
            <w:r w:rsidRPr="005C3BAC">
              <w:rPr>
                <w:rFonts w:ascii="Times New Roman" w:eastAsia="Arial" w:hAnsi="Times New Roman" w:cs="Times New Roman"/>
                <w:b/>
                <w:bCs/>
                <w:sz w:val="16"/>
                <w:szCs w:val="16"/>
              </w:rPr>
              <w:t>0-0.5</w:t>
            </w:r>
            <w:r w:rsidRPr="005C3BAC">
              <w:rPr>
                <w:rFonts w:ascii="Times New Roman" w:eastAsia="Arial" w:hAnsi="Times New Roman" w:cs="Times New Roman"/>
                <w:bCs/>
                <w:sz w:val="16"/>
                <w:szCs w:val="16"/>
              </w:rPr>
              <w:t xml:space="preserve">    </w:t>
            </w:r>
            <w:r w:rsidRPr="005C3BAC">
              <w:rPr>
                <w:rFonts w:ascii="Times New Roman" w:eastAsia="Arial" w:hAnsi="Times New Roman" w:cs="Times New Roman"/>
                <w:b/>
                <w:bCs/>
                <w:iCs/>
                <w:sz w:val="16"/>
                <w:szCs w:val="16"/>
              </w:rPr>
              <w:t>10³/</w:t>
            </w:r>
            <w:proofErr w:type="spellStart"/>
            <w:r w:rsidRPr="005C3BAC">
              <w:rPr>
                <w:rFonts w:ascii="Times New Roman" w:eastAsia="Arial" w:hAnsi="Times New Roman" w:cs="Times New Roman"/>
                <w:b/>
                <w:bCs/>
                <w:iCs/>
                <w:sz w:val="16"/>
                <w:szCs w:val="16"/>
              </w:rPr>
              <w:t>μl</w:t>
            </w:r>
            <w:proofErr w:type="spellEnd"/>
          </w:p>
          <w:p w:rsidR="005C3BAC" w:rsidRPr="005C3BAC" w:rsidRDefault="005C3BAC" w:rsidP="005C3BAC">
            <w:pPr>
              <w:snapToGrid w:val="0"/>
              <w:spacing w:after="0"/>
              <w:rPr>
                <w:rFonts w:ascii="Times New Roman" w:eastAsia="Arial" w:hAnsi="Times New Roman" w:cs="Times New Roman"/>
                <w:b/>
                <w:bCs/>
                <w:iCs/>
                <w:sz w:val="16"/>
                <w:szCs w:val="16"/>
              </w:rPr>
            </w:pPr>
            <w:r w:rsidRPr="005C3BAC">
              <w:rPr>
                <w:rFonts w:ascii="Arial" w:eastAsia="Arial" w:hAnsi="Arial" w:cs="Arial"/>
                <w:bCs/>
                <w:sz w:val="16"/>
                <w:szCs w:val="16"/>
              </w:rPr>
              <w:t xml:space="preserve">♀/♂       </w:t>
            </w:r>
            <w:r w:rsidRPr="005C3BAC">
              <w:rPr>
                <w:rFonts w:ascii="Arial" w:eastAsia="Arial" w:hAnsi="Arial" w:cs="Arial"/>
                <w:b/>
                <w:bCs/>
                <w:sz w:val="16"/>
                <w:szCs w:val="16"/>
              </w:rPr>
              <w:t xml:space="preserve">0-5 </w:t>
            </w:r>
            <w:r w:rsidRPr="005C3BAC">
              <w:rPr>
                <w:rFonts w:ascii="Arial" w:eastAsia="Arial" w:hAnsi="Arial" w:cs="Arial"/>
                <w:bCs/>
                <w:sz w:val="16"/>
                <w:szCs w:val="16"/>
              </w:rPr>
              <w:t xml:space="preserve">   </w:t>
            </w:r>
            <w:r w:rsidRPr="005C3BAC">
              <w:rPr>
                <w:rFonts w:ascii="Arial" w:eastAsia="Arial" w:hAnsi="Arial" w:cs="Arial"/>
                <w:bCs/>
                <w:i/>
                <w:sz w:val="16"/>
                <w:szCs w:val="16"/>
              </w:rPr>
              <w:t>/</w:t>
            </w:r>
            <w:r w:rsidRPr="005C3BAC">
              <w:rPr>
                <w:rFonts w:ascii="Arial" w:eastAsia="Arial" w:hAnsi="Arial" w:cs="Arial"/>
                <w:b/>
                <w:bCs/>
                <w:sz w:val="16"/>
                <w:szCs w:val="16"/>
              </w:rPr>
              <w:t>100 WBC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AS-LYMPH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spacing w:after="0"/>
              <w:rPr>
                <w:rFonts w:ascii="Arial" w:eastAsia="Arial" w:hAnsi="Arial" w:cs="Arial"/>
                <w:b/>
                <w:bCs/>
                <w:iCs/>
                <w:sz w:val="16"/>
                <w:szCs w:val="16"/>
              </w:rPr>
            </w:pPr>
            <w:r w:rsidRPr="005C3BAC">
              <w:rPr>
                <w:rFonts w:ascii="Arial" w:eastAsia="Arial" w:hAnsi="Arial" w:cs="Arial"/>
                <w:bCs/>
                <w:sz w:val="16"/>
                <w:szCs w:val="16"/>
              </w:rPr>
              <w:t xml:space="preserve">♀/♂       </w:t>
            </w:r>
            <w:r w:rsidRPr="005C3BAC">
              <w:rPr>
                <w:rFonts w:ascii="Arial" w:eastAsia="Arial" w:hAnsi="Arial" w:cs="Arial"/>
                <w:b/>
                <w:bCs/>
                <w:sz w:val="16"/>
                <w:szCs w:val="16"/>
              </w:rPr>
              <w:t>0-0</w:t>
            </w:r>
            <w:r w:rsidRPr="005C3BAC">
              <w:rPr>
                <w:rFonts w:ascii="Arial" w:eastAsia="Arial" w:hAnsi="Arial" w:cs="Arial"/>
                <w:bCs/>
                <w:sz w:val="16"/>
                <w:szCs w:val="16"/>
              </w:rPr>
              <w:t xml:space="preserve">     </w:t>
            </w:r>
            <w:r w:rsidRPr="005C3BAC">
              <w:rPr>
                <w:rFonts w:ascii="Arial" w:eastAsia="Arial" w:hAnsi="Arial" w:cs="Arial"/>
                <w:b/>
                <w:bCs/>
                <w:iCs/>
                <w:sz w:val="16"/>
                <w:szCs w:val="16"/>
              </w:rPr>
              <w:t>10³/</w:t>
            </w:r>
            <w:proofErr w:type="spellStart"/>
            <w:r w:rsidRPr="005C3BAC">
              <w:rPr>
                <w:rFonts w:ascii="Arial" w:eastAsia="Arial" w:hAnsi="Arial" w:cs="Arial"/>
                <w:b/>
                <w:bCs/>
                <w:iCs/>
                <w:sz w:val="16"/>
                <w:szCs w:val="16"/>
              </w:rPr>
              <w:t>μl</w:t>
            </w:r>
            <w:proofErr w:type="spellEnd"/>
          </w:p>
          <w:p w:rsidR="005C3BAC" w:rsidRPr="005C3BAC" w:rsidRDefault="005C3BAC" w:rsidP="005C3BAC">
            <w:pPr>
              <w:snapToGrid w:val="0"/>
              <w:spacing w:after="0"/>
              <w:rPr>
                <w:rFonts w:ascii="Arial" w:eastAsia="Arial" w:hAnsi="Arial" w:cs="Arial"/>
                <w:bCs/>
                <w:sz w:val="16"/>
                <w:szCs w:val="16"/>
              </w:rPr>
            </w:pPr>
            <w:r w:rsidRPr="005C3BAC">
              <w:rPr>
                <w:rFonts w:ascii="Arial" w:eastAsia="Arial" w:hAnsi="Arial" w:cs="Arial"/>
                <w:bCs/>
                <w:sz w:val="16"/>
                <w:szCs w:val="16"/>
              </w:rPr>
              <w:t xml:space="preserve">♀/♂      </w:t>
            </w:r>
            <w:r w:rsidRPr="005C3BAC">
              <w:rPr>
                <w:rFonts w:ascii="Arial" w:eastAsia="Arial" w:hAnsi="Arial" w:cs="Arial"/>
                <w:b/>
                <w:bCs/>
                <w:sz w:val="16"/>
                <w:szCs w:val="16"/>
              </w:rPr>
              <w:t xml:space="preserve"> 0-0 </w:t>
            </w:r>
            <w:r w:rsidRPr="005C3BAC">
              <w:rPr>
                <w:rFonts w:ascii="Arial" w:eastAsia="Arial" w:hAnsi="Arial" w:cs="Arial"/>
                <w:bCs/>
                <w:sz w:val="16"/>
                <w:szCs w:val="16"/>
              </w:rPr>
              <w:t xml:space="preserve">   </w:t>
            </w:r>
            <w:r w:rsidRPr="005C3BAC">
              <w:rPr>
                <w:rFonts w:ascii="Arial" w:eastAsia="Arial" w:hAnsi="Arial" w:cs="Arial"/>
                <w:b/>
                <w:bCs/>
                <w:sz w:val="16"/>
                <w:szCs w:val="16"/>
              </w:rPr>
              <w:t>/100 WBC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MON*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0.1 – 0.8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4 – 10 %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NEU*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1.8 – 7.7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45 – 70 %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6"/>
                <w:szCs w:val="16"/>
                <w:lang w:val="de-DE"/>
              </w:rPr>
            </w:pPr>
            <w:r w:rsidRPr="005C3BAC">
              <w:rPr>
                <w:rFonts w:ascii="Times New Roman" w:hAnsi="Times New Roman" w:cs="Times New Roman"/>
                <w:b/>
                <w:bCs/>
                <w:color w:val="FF0000"/>
                <w:sz w:val="16"/>
                <w:szCs w:val="16"/>
                <w:lang w:val="de-DE"/>
              </w:rPr>
              <w:t>NEUT-GI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  <w:highlight w:val="yellow"/>
                <w:lang w:val="de-DE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napToGrid w:val="0"/>
              <w:rPr>
                <w:rFonts w:ascii="Times New Roman" w:hAnsi="Times New Roman" w:cs="Times New Roman"/>
                <w:i/>
                <w:iCs/>
                <w:sz w:val="16"/>
                <w:szCs w:val="16"/>
                <w:lang w:val="de-DE"/>
              </w:rPr>
            </w:pPr>
            <w:r w:rsidRPr="005C3BAC">
              <w:rPr>
                <w:rFonts w:ascii="Times New Roman" w:eastAsia="Arial" w:hAnsi="Times New Roman" w:cs="Times New Roman"/>
                <w:bCs/>
                <w:sz w:val="16"/>
                <w:szCs w:val="16"/>
                <w:lang w:val="de-DE"/>
              </w:rPr>
              <w:t>♀</w:t>
            </w:r>
            <w:r w:rsidRPr="005C3BAC">
              <w:rPr>
                <w:rFonts w:ascii="Times New Roman" w:hAnsi="Times New Roman" w:cs="Times New Roman"/>
                <w:bCs/>
                <w:sz w:val="16"/>
                <w:szCs w:val="16"/>
                <w:lang w:val="de-DE"/>
              </w:rPr>
              <w:t>/</w:t>
            </w:r>
            <w:r w:rsidRPr="005C3BAC">
              <w:rPr>
                <w:rFonts w:ascii="Times New Roman" w:eastAsia="Arial" w:hAnsi="Times New Roman" w:cs="Times New Roman"/>
                <w:bCs/>
                <w:sz w:val="16"/>
                <w:szCs w:val="16"/>
                <w:lang w:val="de-DE"/>
              </w:rPr>
              <w:t>♂</w:t>
            </w:r>
            <w:r w:rsidRPr="005C3BAC">
              <w:rPr>
                <w:rFonts w:ascii="Times New Roman" w:eastAsia="Arial" w:hAnsi="Times New Roman" w:cs="Times New Roman"/>
                <w:b/>
                <w:bCs/>
                <w:sz w:val="16"/>
                <w:szCs w:val="16"/>
                <w:lang w:val="de-DE"/>
              </w:rPr>
              <w:t xml:space="preserve">     </w:t>
            </w:r>
            <w:r w:rsidRPr="005C3BAC">
              <w:rPr>
                <w:rFonts w:ascii="Times New Roman" w:hAnsi="Times New Roman" w:cs="Times New Roman"/>
                <w:b/>
                <w:bCs/>
                <w:sz w:val="16"/>
                <w:szCs w:val="16"/>
                <w:lang w:val="de-DE"/>
              </w:rPr>
              <w:t xml:space="preserve">142.8 – 159.3  </w:t>
            </w:r>
            <w:r w:rsidRPr="005C3BAC">
              <w:rPr>
                <w:rFonts w:ascii="Times New Roman" w:hAnsi="Times New Roman" w:cs="Times New Roman"/>
                <w:bCs/>
                <w:sz w:val="16"/>
                <w:szCs w:val="16"/>
                <w:lang w:val="de-DE"/>
              </w:rPr>
              <w:t>GI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C55.103.02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6"/>
                <w:szCs w:val="16"/>
                <w:lang w:val="de-DE"/>
              </w:rPr>
            </w:pPr>
            <w:r w:rsidRPr="005C3BAC">
              <w:rPr>
                <w:rFonts w:ascii="Times New Roman" w:hAnsi="Times New Roman" w:cs="Times New Roman"/>
                <w:b/>
                <w:bCs/>
                <w:color w:val="FF0000"/>
                <w:sz w:val="16"/>
                <w:szCs w:val="16"/>
                <w:lang w:val="de-DE"/>
              </w:rPr>
              <w:t>NEUT-RI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  <w:highlight w:val="yellow"/>
                <w:lang w:val="de-DE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napToGrid w:val="0"/>
              <w:rPr>
                <w:rFonts w:ascii="Times New Roman" w:hAnsi="Times New Roman" w:cs="Times New Roman"/>
                <w:i/>
                <w:iCs/>
                <w:sz w:val="16"/>
                <w:szCs w:val="16"/>
                <w:lang w:val="de-DE"/>
              </w:rPr>
            </w:pPr>
            <w:r w:rsidRPr="005C3BAC">
              <w:rPr>
                <w:rFonts w:ascii="Times New Roman" w:eastAsia="Arial" w:hAnsi="Times New Roman" w:cs="Times New Roman"/>
                <w:bCs/>
                <w:sz w:val="16"/>
                <w:szCs w:val="16"/>
                <w:lang w:val="de-DE"/>
              </w:rPr>
              <w:t>♀</w:t>
            </w:r>
            <w:r w:rsidRPr="005C3BAC">
              <w:rPr>
                <w:rFonts w:ascii="Times New Roman" w:hAnsi="Times New Roman" w:cs="Times New Roman"/>
                <w:bCs/>
                <w:sz w:val="16"/>
                <w:szCs w:val="16"/>
                <w:lang w:val="de-DE"/>
              </w:rPr>
              <w:t>/</w:t>
            </w:r>
            <w:r w:rsidRPr="005C3BAC">
              <w:rPr>
                <w:rFonts w:ascii="Times New Roman" w:eastAsia="Arial" w:hAnsi="Times New Roman" w:cs="Times New Roman"/>
                <w:bCs/>
                <w:sz w:val="16"/>
                <w:szCs w:val="16"/>
                <w:lang w:val="de-DE"/>
              </w:rPr>
              <w:t>♂</w:t>
            </w:r>
            <w:r w:rsidRPr="005C3BAC">
              <w:rPr>
                <w:rFonts w:ascii="Times New Roman" w:eastAsia="Arial" w:hAnsi="Times New Roman" w:cs="Times New Roman"/>
                <w:b/>
                <w:bCs/>
                <w:sz w:val="16"/>
                <w:szCs w:val="16"/>
                <w:lang w:val="de-DE"/>
              </w:rPr>
              <w:t xml:space="preserve">     </w:t>
            </w:r>
            <w:r w:rsidRPr="005C3BAC">
              <w:rPr>
                <w:rFonts w:ascii="Times New Roman" w:hAnsi="Times New Roman" w:cs="Times New Roman"/>
                <w:b/>
                <w:bCs/>
                <w:sz w:val="16"/>
                <w:szCs w:val="16"/>
                <w:lang w:val="de-DE"/>
              </w:rPr>
              <w:t xml:space="preserve">39.8 – 51.0   </w:t>
            </w:r>
            <w:proofErr w:type="spellStart"/>
            <w:r w:rsidRPr="005C3BAC">
              <w:rPr>
                <w:rFonts w:ascii="Times New Roman" w:hAnsi="Times New Roman" w:cs="Times New Roman"/>
                <w:bCs/>
                <w:sz w:val="16"/>
                <w:szCs w:val="16"/>
                <w:lang w:val="de-DE"/>
              </w:rPr>
              <w:t>Rl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EOS*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0.04 – 0.45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 – 5 %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BAS*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0.01 – 0.2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 – 1 %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IG*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 – 0.09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 – 0,6 %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NRBC*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 – 0.0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0.0- 0.0/100 WBC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Ret*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0.025 – 0.10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6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5 – 22 ‰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Ret He*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28-35 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pg</w:t>
            </w:r>
            <w:proofErr w:type="spellEnd"/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IRF*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1.5 – 13.7 %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LFR*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87.8 – 98.6 %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MFR*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2.4 – 12.5 % 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HFR*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0.0 – 2.4 %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</w:tbl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34"/>
        <w:gridCol w:w="1265"/>
        <w:gridCol w:w="1428"/>
        <w:gridCol w:w="1434"/>
        <w:gridCol w:w="1479"/>
        <w:gridCol w:w="1415"/>
        <w:gridCol w:w="1460"/>
        <w:gridCol w:w="1409"/>
        <w:gridCol w:w="1498"/>
      </w:tblGrid>
      <w:tr w:rsidR="005C3BAC" w:rsidRPr="005C3BAC" w:rsidTr="005C3BAC"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pobranym materiałem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5C3BAC" w:rsidRPr="005C3BAC" w:rsidTr="005C3BAC">
        <w:tc>
          <w:tcPr>
            <w:tcW w:w="1272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i/>
                <w:sz w:val="20"/>
                <w:szCs w:val="20"/>
                <w:lang w:eastAsia="pl-PL"/>
              </w:rPr>
              <w:t xml:space="preserve">OB  </w:t>
            </w:r>
          </w:p>
        </w:tc>
      </w:tr>
      <w:tr w:rsidR="005C3BAC" w:rsidRPr="005C3BAC" w:rsidTr="005C3BAC"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lastRenderedPageBreak/>
              <w:t>C59.102.09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OB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Czytnik automatyczny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Dzieci: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0 – 1 mies.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0 – 2 mm/h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1 – 6 mies.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12 – 17 mm/h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Dorośli: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do 60 lat: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&lt; 12 mm/h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&lt; 10 mm/h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&gt; 60 lat: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&lt; 20 mm/h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&lt; 15 mm/h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(4 obj.) pobrana do roztworu 0,109 mol/l cytrynianu trójsodowego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( 1 obj.),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Próbkę poddać analizie w ciągu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2 godzin od pobrania, lub przechowywać </w:t>
            </w: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w lodówce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(2 - </w:t>
            </w:r>
            <w:smartTag w:uri="urn:schemas-microsoft-com:office:smarttags" w:element="metricconverter">
              <w:smartTagPr>
                <w:attr w:name="ProductID" w:val="8ﾰC"/>
              </w:smartTagPr>
              <w:r w:rsidRPr="005C3BAC">
                <w:rPr>
                  <w:rFonts w:ascii="Arial" w:eastAsia="Times New Roman" w:hAnsi="Arial" w:cs="Arial"/>
                  <w:sz w:val="14"/>
                  <w:szCs w:val="14"/>
                  <w:lang w:eastAsia="pl-PL"/>
                </w:rPr>
                <w:t>8°C</w:t>
              </w:r>
            </w:smartTag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)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godziny do czasu wykonania analizy (nie mrozić).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Przed przeprowadzeniem analizy próbki ogrzać do temperatury pokojowej, dokładnie wymieszać 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tbl>
      <w:tblPr>
        <w:tblW w:w="139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700"/>
        <w:gridCol w:w="1558"/>
        <w:gridCol w:w="1558"/>
        <w:gridCol w:w="1559"/>
        <w:gridCol w:w="1983"/>
        <w:gridCol w:w="1842"/>
        <w:gridCol w:w="1276"/>
        <w:gridCol w:w="1558"/>
      </w:tblGrid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Przygoto-wanie</w:t>
            </w:r>
            <w:proofErr w:type="spellEnd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pacjenta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pobranym materiałem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5C3BAC" w:rsidRPr="005C3BAC" w:rsidTr="005C3BAC">
        <w:tc>
          <w:tcPr>
            <w:tcW w:w="1399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 xml:space="preserve">Badania </w:t>
            </w:r>
            <w:proofErr w:type="spellStart"/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koagulologiczne</w:t>
            </w:r>
            <w:proofErr w:type="spellEnd"/>
            <w:r w:rsidRPr="005C3BAC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G21.122.17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Czas 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protrombinowy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 (PT)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708"/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Pomiar czasu powstawania skrzepu po aktywacji osocza tromboplastyną i jonami Ca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2+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0.90 – 1.20 INR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10.4 – 13.0 sec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9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( 9 obj.) pobrana do roztworu 0,109 mol/l cytrynianu trójsodowego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( 1 obj.), starannie wymieszana tak aby unikać tworzenia się piany.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6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.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 oddzielone od elementów morfotycznych osocze przechowywać: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- w temp. pokojowej do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6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G11.122.17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Czas 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kaolinowo-kefalinowy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*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(APTT)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Pomiar czasu powstawania skrzepu po uprzedniej aktywacji jonami Ca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2+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fosfolipidami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26.0 – 36.0 sec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 w temp. pokojowej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godz.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G53.122.17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Fibrynogen*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(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Fbg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Pomiar czasu powstawania skrzepu po dodaniu nadmiaru trombiny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1.8 – 3.5 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>4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Odwirowane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i oddzielone od elementów morfotycznych osocze przechowywać 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4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</w:t>
            </w:r>
          </w:p>
        </w:tc>
      </w:tr>
      <w:tr w:rsidR="00CD70F3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G53.122.1112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Fibrynogen </w:t>
            </w:r>
          </w:p>
          <w:p w:rsidR="00CD70F3" w:rsidRPr="005C3BAC" w:rsidRDefault="00CD70F3" w:rsidP="00CD70F3">
            <w:pPr>
              <w:suppressAutoHyphens/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(met. </w:t>
            </w:r>
            <w:proofErr w:type="spellStart"/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immunoturbidymetryczna</w:t>
            </w:r>
            <w:proofErr w:type="spellEnd"/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Udoskonalona metoda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turbidymetrii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lateksowej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C3BAC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Dorośli ♀/♂ </w:t>
            </w:r>
          </w:p>
          <w:p w:rsidR="00CD70F3" w:rsidRPr="005C3BAC" w:rsidRDefault="00CD70F3" w:rsidP="00CD70F3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C3BAC">
              <w:rPr>
                <w:rFonts w:ascii="Arial" w:hAnsi="Arial" w:cs="Arial"/>
                <w:bCs/>
                <w:color w:val="000000"/>
                <w:sz w:val="16"/>
                <w:szCs w:val="16"/>
              </w:rPr>
              <w:t>1.8 – 3.5 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1 mies.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G03.122.17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Antytrombina *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aktywność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Antytrombina jest aktywowana za pomocą trombiny, której nadmiar oznaczany jest kolorymetrycznie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75 – 125 %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5C3BAC">
              <w:rPr>
                <w:rFonts w:ascii="Arial" w:hAnsi="Arial" w:cs="Arial"/>
                <w:b/>
                <w:bCs/>
                <w:sz w:val="14"/>
                <w:szCs w:val="14"/>
              </w:rPr>
              <w:t>G03.122.17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Antytrombina</w:t>
            </w:r>
          </w:p>
          <w:p w:rsidR="005C3BAC" w:rsidRPr="005C3BAC" w:rsidRDefault="005C3BAC" w:rsidP="005C3BAC">
            <w:pPr>
              <w:suppressAutoHyphens/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stężenie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Udoskonalona metoda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turbidymetrii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lateksowej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C3BAC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Dorośli ♀/♂ </w:t>
            </w: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C3BAC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0.19 – 0.31 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G25.122.17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Czas 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trombinowy</w:t>
            </w:r>
            <w:proofErr w:type="spellEnd"/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TT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Trombina przekształca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fibrynogen w fibrynę. 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Pomiar czasu do wytworzenia się skrzepu fibrynowego.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16.0 – 26.0 sec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 1 godziny od chwili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Oznaczenie wykonać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859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color w:val="000000"/>
                <w:sz w:val="14"/>
                <w:szCs w:val="14"/>
                <w:lang w:eastAsia="pl-PL"/>
              </w:rPr>
              <w:lastRenderedPageBreak/>
              <w:t>L96.122.</w:t>
            </w:r>
            <w:r w:rsidRPr="005C3BAC">
              <w:rPr>
                <w:rFonts w:ascii="Arial" w:eastAsia="Times New Roman" w:hAnsi="Arial" w:cs="Arial"/>
                <w:color w:val="000000"/>
                <w:sz w:val="14"/>
                <w:szCs w:val="14"/>
                <w:lang w:eastAsia="pl-PL"/>
              </w:rPr>
              <w:br/>
              <w:t>191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Aktywność C1 inhibitora esterazy</w:t>
            </w: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70 – 120 %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tygodni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 oddzielone od elementów morfotycznych  (niezwłocznie) 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i zamrozić.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osocze przechowywać: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G05.122.17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Białko C*</w:t>
            </w: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>(aktywność)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Białko C podlega aktywacji pod wpływem swoistego aktywatora z jadu żmii. 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Białko C bada się testem kinetycznym mierząc wzrost absorbancji przy dł. fali 450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nm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Noworodki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40 % normy dorosłych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70 – 140 %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temp. pokojowej do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4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G33.122.17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czynnik VIII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Aktywność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koagulometryczna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70 – 150 %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3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temp. pokojowej do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2 tygodnie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G02.122.17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Aktywność </w:t>
            </w:r>
            <w:r w:rsidRPr="005C3BAC">
              <w:rPr>
                <w:rFonts w:ascii="Arial" w:eastAsia="Times New Roman" w:hAnsi="Arial" w:cs="Arial"/>
                <w:color w:val="FF0000"/>
                <w:sz w:val="16"/>
                <w:szCs w:val="16"/>
                <w:lang w:eastAsia="pl-PL"/>
              </w:rPr>
              <w:t>anty-</w:t>
            </w:r>
            <w:proofErr w:type="spellStart"/>
            <w:r w:rsidRPr="005C3BAC">
              <w:rPr>
                <w:rFonts w:ascii="Arial" w:eastAsia="Times New Roman" w:hAnsi="Arial" w:cs="Arial"/>
                <w:color w:val="FF0000"/>
                <w:sz w:val="16"/>
                <w:szCs w:val="16"/>
                <w:lang w:eastAsia="pl-PL"/>
              </w:rPr>
              <w:t>Xa</w:t>
            </w:r>
            <w:proofErr w:type="spellEnd"/>
            <w:r w:rsidRPr="005C3BAC">
              <w:rPr>
                <w:rFonts w:ascii="Arial" w:eastAsia="Times New Roman" w:hAnsi="Arial" w:cs="Arial"/>
                <w:color w:val="FF0000"/>
                <w:sz w:val="16"/>
                <w:szCs w:val="16"/>
                <w:lang w:eastAsia="pl-PL"/>
              </w:rPr>
              <w:t xml:space="preserve"> heparyny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♀/♂ </w:t>
            </w: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1.0 – 1.3 IU/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mL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Heparyna Drobnocząsteczkowa</w:t>
            </w: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-dawkowanie 1xdziennie</w:t>
            </w: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0.6 – 1.0  IU/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mL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Heparyna</w:t>
            </w: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Drobnocząsteczkowa</w:t>
            </w: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-dawkowanie 2xdziennie</w:t>
            </w: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0.3 – 0.7  IU/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mL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Heparyna niefrakcjonowana</w:t>
            </w: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3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temp. pokojowej do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2 tygodnie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G49.122.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br/>
              <w:t>1113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D-dimer*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- test ilościowy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Udoskonalona metoda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turbidymetrii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lateksowej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&lt;0.55 mg/l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 oddzielone od elementów morfotycznych osocze przechowywać: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- w temp. pokojowej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12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G77.122.</w:t>
            </w: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br/>
              <w:t>012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FDP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Produkty degradacji fibrynogenu  *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- metoda półilościowa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Immunochemiczna </w:t>
            </w:r>
          </w:p>
          <w:p w:rsidR="005C3BAC" w:rsidRPr="005C3BAC" w:rsidRDefault="005C3BAC" w:rsidP="005C3BAC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z przeciwciałami monoklonalnymi. </w:t>
            </w:r>
          </w:p>
          <w:p w:rsidR="005C3BAC" w:rsidRPr="005C3BAC" w:rsidRDefault="005C3BAC" w:rsidP="005C3BAC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Aglutynacja w obecności FDP</w:t>
            </w:r>
          </w:p>
          <w:p w:rsidR="005C3BAC" w:rsidRPr="005C3BAC" w:rsidRDefault="005C3BAC" w:rsidP="005C3BAC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manualna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5.0 </w:t>
            </w: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sym w:font="Symbol" w:char="F06D"/>
            </w: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Odwirowane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i oddzielone od elementów morfotycznych osocze przechowywać: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temp. pokojowej do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4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godzin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miesiąca</w:t>
            </w:r>
          </w:p>
        </w:tc>
      </w:tr>
      <w:tr w:rsidR="00CD70F3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5C3BAC">
              <w:rPr>
                <w:rFonts w:ascii="Arial" w:hAnsi="Arial" w:cs="Arial"/>
                <w:b/>
                <w:bCs/>
                <w:sz w:val="14"/>
                <w:szCs w:val="14"/>
              </w:rPr>
              <w:t>G24.122.17.1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Dabigatran</w:t>
            </w:r>
            <w:proofErr w:type="spellEnd"/>
          </w:p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Bezpośredni inhibitor trombiny (stężenie)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CD70F3" w:rsidRPr="005C3BAC" w:rsidRDefault="00CD70F3" w:rsidP="00CD70F3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♀/♂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Średnia geometryczna stężenia leku przed kolejną dawką (najniższe stężenie) wynosi 91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(zakres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kwartylowy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: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61-143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/ml)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u leczonych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dabigatranem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w dawce 150 mg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 razy dziennie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Maksymalny poziom jest osiągany po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2 godzinach od podania leku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 xml:space="preserve">i średnia geometryczna jego stężenia wynosi 175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(zakres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kwartylowy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: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117 – 275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/ml)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u leczonych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dabigatranem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w dawce 150 mg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 razy dziennie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Oznaczone stężenie nie jest miarą efektu terapeutycznego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Ref. charakterystyka produktu leczniczego (aktualizacja 29.02.2016)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  <w:tr w:rsidR="00CD70F3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5C3BAC">
              <w:rPr>
                <w:rFonts w:ascii="Arial" w:hAnsi="Arial" w:cs="Arial"/>
                <w:b/>
                <w:bCs/>
                <w:sz w:val="14"/>
                <w:szCs w:val="14"/>
              </w:rPr>
              <w:lastRenderedPageBreak/>
              <w:t>G02.122.17.3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Rywaroksaban</w:t>
            </w:r>
            <w:proofErr w:type="spellEnd"/>
          </w:p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Bezpośredni inhibitor aktywnego czynnika X (stężenie)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CD70F3" w:rsidRPr="005C3BAC" w:rsidRDefault="00CD70F3" w:rsidP="00CD70F3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♀/♂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Średnia geometryczna stężenia leku przed kolejna dawką (najniższe stężenie) wynosi 32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/ml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(90% przedział predykcji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6 - 239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/ml)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w leczeniu ostrej ZŻG dawką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20 mg dziennie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Maksymalny poziom osiągany jest 2 - 4 godz.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od podania leku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średnia geometryczna wynosi 215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(90% przedział predykcji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 xml:space="preserve">22 – 535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/ml)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w leczeniu ostrej ZŻG dawką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20 mg dziennie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Oznaczone stężenie nie jest miarą efektu terapeutycznego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Ref. charakterystyka produktu leczniczego (aktualizacja 14.10.2016)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  <w:tr w:rsidR="00CD70F3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5C3BAC">
              <w:rPr>
                <w:rFonts w:ascii="Arial" w:hAnsi="Arial" w:cs="Arial"/>
                <w:b/>
                <w:bCs/>
                <w:sz w:val="14"/>
                <w:szCs w:val="14"/>
              </w:rPr>
              <w:lastRenderedPageBreak/>
              <w:t>G02.122.17.2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Apiksaban</w:t>
            </w:r>
            <w:proofErr w:type="spellEnd"/>
          </w:p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Bezpośredni inhibitor aktywnego czynnika X (stężenie)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CD70F3" w:rsidRPr="005C3BAC" w:rsidRDefault="00CD70F3" w:rsidP="00CD70F3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♀/♂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Zakresy referencyjne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(5 – 95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percentyl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), leczenie ZŻG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i zapobieganie nawrotowej ZŻG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i ZP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Maksymalne stężenie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(3 – 4 godz. po podaniu leku):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30 – 153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/ml (dawka 2,5 mg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2 razy dziennie)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59 – 302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(dawka 5 mg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 razy dziennie)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Minimalne stężenie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(przed kolejna dawką):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11 – 90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(dawka 2,5 mg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 razy dziennie)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22 – 177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(dawka 5 mg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 razy dziennie)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>Ref. charakterystyka produktu leczniczego (aktualizacja 15.04.2016)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</w:tbl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560"/>
        <w:gridCol w:w="1701"/>
        <w:gridCol w:w="1559"/>
        <w:gridCol w:w="1560"/>
        <w:gridCol w:w="1701"/>
        <w:gridCol w:w="1985"/>
        <w:gridCol w:w="2127"/>
        <w:gridCol w:w="1418"/>
      </w:tblGrid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Przygoto-wanie</w:t>
            </w:r>
            <w:proofErr w:type="spellEnd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pacjenta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5C3BAC" w:rsidRPr="005C3BAC" w:rsidTr="005C3BAC">
        <w:tc>
          <w:tcPr>
            <w:tcW w:w="145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Badanie płynu mózgowo-rdzeniowego</w:t>
            </w:r>
            <w:r w:rsidRPr="005C3BAC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bottom w:val="nil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C54.28.02</w:t>
            </w:r>
          </w:p>
        </w:tc>
        <w:tc>
          <w:tcPr>
            <w:tcW w:w="1560" w:type="dxa"/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Cytoza:</w:t>
            </w:r>
          </w:p>
        </w:tc>
        <w:tc>
          <w:tcPr>
            <w:tcW w:w="1701" w:type="dxa"/>
            <w:vMerge w:val="restart"/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701" w:type="dxa"/>
            <w:tcBorders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Próbki powinny być pobrane przed dokanałowym podaniem środków kontrastowych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dedykowanej probówki poliuretanowej</w:t>
            </w:r>
          </w:p>
        </w:tc>
        <w:tc>
          <w:tcPr>
            <w:tcW w:w="1985" w:type="dxa"/>
            <w:tcBorders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2127" w:type="dxa"/>
            <w:tcBorders>
              <w:left w:val="single" w:sz="4" w:space="0" w:color="auto"/>
              <w:bottom w:val="nil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418" w:type="dxa"/>
            <w:tcBorders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Próbkę poddać analizie w ciągu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4 godzin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zaleca się przechowywania materiału</w:t>
            </w: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nil"/>
              <w:bottom w:val="nil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Erytrocyty (RBC)</w:t>
            </w:r>
          </w:p>
        </w:tc>
        <w:tc>
          <w:tcPr>
            <w:tcW w:w="1701" w:type="dxa"/>
            <w:vMerge/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  <w:hideMark/>
          </w:tcPr>
          <w:p w:rsidR="005C3BAC" w:rsidRPr="005C3BAC" w:rsidRDefault="005C3BAC" w:rsidP="005C3BAC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♀/♂</w:t>
            </w:r>
          </w:p>
          <w:p w:rsidR="005C3BAC" w:rsidRPr="005C3BAC" w:rsidRDefault="005C3BAC" w:rsidP="005C3BAC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Dorośli </w:t>
            </w:r>
          </w:p>
          <w:p w:rsidR="005C3BAC" w:rsidRPr="005C3BAC" w:rsidRDefault="005C3BAC" w:rsidP="005C3BAC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0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</w:t>
            </w: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vertAlign w:val="superscript"/>
              </w:rPr>
              <w:t xml:space="preserve">6 </w:t>
            </w: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komórek/</w:t>
            </w: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sym w:font="Symbol" w:char="F06D"/>
            </w: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1560" w:type="dxa"/>
            <w:tcBorders>
              <w:top w:val="nil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nil"/>
              <w:bottom w:val="nil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Leukocyty (WBC)</w:t>
            </w:r>
          </w:p>
        </w:tc>
        <w:tc>
          <w:tcPr>
            <w:tcW w:w="1701" w:type="dxa"/>
            <w:vMerge/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♀/♂ </w:t>
            </w:r>
          </w:p>
          <w:p w:rsidR="005C3BAC" w:rsidRPr="005C3BAC" w:rsidRDefault="005C3BAC" w:rsidP="005C3BAC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Dorośli</w:t>
            </w:r>
          </w:p>
          <w:p w:rsidR="005C3BAC" w:rsidRPr="005C3BAC" w:rsidRDefault="005C3BAC" w:rsidP="005C3BAC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 xml:space="preserve"> 0 – 5  komórek/</w:t>
            </w: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sym w:font="Symbol" w:char="F06D"/>
            </w: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L</w:t>
            </w:r>
          </w:p>
          <w:p w:rsidR="005C3BAC" w:rsidRPr="005C3BAC" w:rsidRDefault="005C3BAC" w:rsidP="005C3BAC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5C3BAC" w:rsidRPr="005C3BAC" w:rsidRDefault="005C3BAC" w:rsidP="005C3BAC">
            <w:pPr>
              <w:suppressAutoHyphens/>
              <w:spacing w:after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5C3BAC">
              <w:rPr>
                <w:rFonts w:ascii="Arial" w:hAnsi="Arial" w:cs="Arial"/>
                <w:bCs/>
                <w:sz w:val="16"/>
                <w:szCs w:val="16"/>
              </w:rPr>
              <w:t>Noworodki</w:t>
            </w:r>
          </w:p>
          <w:p w:rsidR="005C3BAC" w:rsidRPr="005C3BAC" w:rsidRDefault="005C3BAC" w:rsidP="005C3BAC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vertAlign w:val="superscript"/>
              </w:rPr>
            </w:pPr>
            <w:r w:rsidRPr="005C3BAC">
              <w:rPr>
                <w:rFonts w:ascii="Arial" w:hAnsi="Arial" w:cs="Arial"/>
                <w:bCs/>
                <w:sz w:val="16"/>
                <w:szCs w:val="16"/>
              </w:rPr>
              <w:t xml:space="preserve">0 -30 </w:t>
            </w: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  <w:p w:rsidR="005C3BAC" w:rsidRPr="005C3BAC" w:rsidRDefault="005C3BAC" w:rsidP="005C3BAC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komórek/</w:t>
            </w: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sym w:font="Symbol" w:char="F06D"/>
            </w: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L</w:t>
            </w:r>
          </w:p>
          <w:p w:rsidR="005C3BAC" w:rsidRPr="005C3BAC" w:rsidRDefault="005C3BAC" w:rsidP="005C3BAC">
            <w:pPr>
              <w:suppressAutoHyphens/>
              <w:spacing w:after="0"/>
              <w:rPr>
                <w:rFonts w:ascii="Arial" w:hAnsi="Arial" w:cs="Arial"/>
                <w:b/>
                <w:bCs/>
                <w:sz w:val="16"/>
                <w:szCs w:val="16"/>
                <w:vertAlign w:val="superscript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nil"/>
              <w:bottom w:val="nil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Komórki o jądrze monomorficznym –MN (limfocyty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 xml:space="preserve"> i monocyty)</w:t>
            </w:r>
          </w:p>
        </w:tc>
        <w:tc>
          <w:tcPr>
            <w:tcW w:w="1701" w:type="dxa"/>
            <w:vMerge/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100%</w:t>
            </w:r>
          </w:p>
        </w:tc>
        <w:tc>
          <w:tcPr>
            <w:tcW w:w="1560" w:type="dxa"/>
            <w:tcBorders>
              <w:top w:val="nil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nil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Komórki o jądrze polimorficznym ---PN (neutrofile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eozynofile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0%</w:t>
            </w:r>
          </w:p>
        </w:tc>
        <w:tc>
          <w:tcPr>
            <w:tcW w:w="1560" w:type="dxa"/>
            <w:tcBorders>
              <w:top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1929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A03.28.131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Cytoza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mikroskopowa/komorowa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 – 5 komórek/</w:t>
            </w: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sym w:font="Symbol" w:char="F06D"/>
            </w: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Próbkę poddać analizie w ciągu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4 godzin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zaleca się przechowywania materiału</w:t>
            </w:r>
          </w:p>
        </w:tc>
      </w:tr>
      <w:tr w:rsidR="005C3BAC" w:rsidRPr="005C3BAC" w:rsidTr="005C3BAC">
        <w:trPr>
          <w:trHeight w:val="8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Barwa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Ocena wzrokowa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wodojasny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992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Przejrzystość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Ocena wzrokowa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przejrzysty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560"/>
        <w:gridCol w:w="1701"/>
        <w:gridCol w:w="1559"/>
        <w:gridCol w:w="1560"/>
        <w:gridCol w:w="1701"/>
        <w:gridCol w:w="1985"/>
        <w:gridCol w:w="2127"/>
        <w:gridCol w:w="1418"/>
      </w:tblGrid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lastRenderedPageBreak/>
              <w:t>Kod badania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Rodzaj analizy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Referencyjne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3BAC">
              <w:rPr>
                <w:rFonts w:ascii="Arial" w:hAnsi="Arial" w:cs="Arial"/>
                <w:b/>
                <w:sz w:val="16"/>
                <w:szCs w:val="16"/>
              </w:rPr>
              <w:t>Przygoto-wanie</w:t>
            </w:r>
            <w:proofErr w:type="spellEnd"/>
            <w:r w:rsidRPr="005C3BAC">
              <w:rPr>
                <w:rFonts w:ascii="Arial" w:hAnsi="Arial" w:cs="Arial"/>
                <w:b/>
                <w:sz w:val="16"/>
                <w:szCs w:val="16"/>
              </w:rPr>
              <w:t xml:space="preserve"> pacjenta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Sposób pobrania materiału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Postępowanie</w:t>
            </w: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z pobranym materiałem (warunki i czas transportu)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Czas oczekiwania na wynik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 xml:space="preserve">Postępowanie </w:t>
            </w: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 xml:space="preserve">z materiałami pobranymi do badania </w:t>
            </w:r>
            <w:r w:rsidRPr="005C3BAC">
              <w:rPr>
                <w:rFonts w:ascii="Arial" w:hAnsi="Arial" w:cs="Arial"/>
                <w:b/>
                <w:sz w:val="16"/>
                <w:szCs w:val="16"/>
              </w:rPr>
              <w:br/>
              <w:t>w laboratorium</w:t>
            </w:r>
          </w:p>
        </w:tc>
      </w:tr>
      <w:tr w:rsidR="005C3BAC" w:rsidRPr="005C3BAC" w:rsidTr="005C3BAC">
        <w:trPr>
          <w:trHeight w:val="680"/>
        </w:trPr>
        <w:tc>
          <w:tcPr>
            <w:tcW w:w="145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Badanie płynu  z jam ciała</w:t>
            </w:r>
            <w:r w:rsidRPr="005C3BAC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Cytoza 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(Liczba komórek w PJC)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-----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PJC wymieszać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antykoagulantem </w:t>
            </w: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(EDTA-2K; EDTA-3K; EDTA-2Na)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Próbkę poddać analizie najlepiej w ciągu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4 godzin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zaleca się przechowywania materiału</w:t>
            </w: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Erytrocyty (RBC)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Leukocyty (WBC)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Komórki o jądrze monomorficznym (MN)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Komórki o jądrze polimorficznym (PN)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560"/>
        <w:gridCol w:w="1701"/>
        <w:gridCol w:w="1559"/>
        <w:gridCol w:w="1560"/>
        <w:gridCol w:w="1701"/>
        <w:gridCol w:w="1985"/>
        <w:gridCol w:w="2127"/>
        <w:gridCol w:w="1418"/>
      </w:tblGrid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Kod badania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Rodzaj analizy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Referencyjne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3BAC">
              <w:rPr>
                <w:rFonts w:ascii="Arial" w:hAnsi="Arial" w:cs="Arial"/>
                <w:b/>
                <w:sz w:val="16"/>
                <w:szCs w:val="16"/>
              </w:rPr>
              <w:t>Przygoto-wanie</w:t>
            </w:r>
            <w:proofErr w:type="spellEnd"/>
            <w:r w:rsidRPr="005C3BAC">
              <w:rPr>
                <w:rFonts w:ascii="Arial" w:hAnsi="Arial" w:cs="Arial"/>
                <w:b/>
                <w:sz w:val="16"/>
                <w:szCs w:val="16"/>
              </w:rPr>
              <w:t xml:space="preserve"> pacjenta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Sposób pobrania materiału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Postępowanie</w:t>
            </w: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z pobranym materiałem (warunki i czas transportu)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Czas oczekiwania na wynik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 xml:space="preserve">Postępowanie </w:t>
            </w: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 xml:space="preserve">z materiałami pobranymi do badania </w:t>
            </w:r>
            <w:r w:rsidRPr="005C3BAC">
              <w:rPr>
                <w:rFonts w:ascii="Arial" w:hAnsi="Arial" w:cs="Arial"/>
                <w:b/>
                <w:sz w:val="16"/>
                <w:szCs w:val="16"/>
              </w:rPr>
              <w:br/>
              <w:t>w laboratorium</w:t>
            </w:r>
          </w:p>
        </w:tc>
      </w:tr>
      <w:tr w:rsidR="005C3BAC" w:rsidRPr="005C3BAC" w:rsidTr="005C3BAC">
        <w:trPr>
          <w:trHeight w:val="680"/>
        </w:trPr>
        <w:tc>
          <w:tcPr>
            <w:tcW w:w="145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5C3BAC" w:rsidRPr="005C3BAC" w:rsidRDefault="005C3BAC" w:rsidP="005C3BAC">
            <w:pPr>
              <w:rPr>
                <w:rFonts w:ascii="Arial" w:hAnsi="Arial" w:cs="Arial"/>
                <w:sz w:val="14"/>
                <w:szCs w:val="14"/>
              </w:rPr>
            </w:pPr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Badanie płynu  z jam ciała</w:t>
            </w:r>
            <w:r w:rsidRPr="005C3BAC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5C3BAC">
              <w:rPr>
                <w:rFonts w:ascii="Arial" w:hAnsi="Arial" w:cs="Arial"/>
                <w:b/>
                <w:bCs/>
                <w:sz w:val="14"/>
                <w:szCs w:val="14"/>
              </w:rPr>
              <w:t>C53.31.02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Hematokryt w PJC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kumulacyjnego zliczania impulsów elektrycznych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3BAC">
              <w:rPr>
                <w:rFonts w:ascii="Arial" w:hAnsi="Arial" w:cs="Arial"/>
                <w:bCs/>
                <w:color w:val="000000"/>
                <w:sz w:val="16"/>
                <w:szCs w:val="16"/>
              </w:rPr>
              <w:t>-----</w:t>
            </w:r>
          </w:p>
          <w:p w:rsidR="005C3BAC" w:rsidRPr="005C3BAC" w:rsidRDefault="005C3BAC" w:rsidP="005C3BAC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rPr>
                <w:rFonts w:ascii="Arial" w:hAnsi="Arial" w:cs="Arial"/>
                <w:sz w:val="16"/>
                <w:szCs w:val="16"/>
              </w:rPr>
            </w:pPr>
          </w:p>
          <w:p w:rsidR="005C3BAC" w:rsidRPr="005C3BAC" w:rsidRDefault="005C3BAC" w:rsidP="005C3BAC">
            <w:pPr>
              <w:rPr>
                <w:rFonts w:ascii="Arial" w:hAnsi="Arial" w:cs="Arial"/>
                <w:sz w:val="16"/>
                <w:szCs w:val="16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>Nie jest konieczne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PJC wymieszać z antykoagulantem </w:t>
            </w:r>
            <w:r w:rsidRPr="005C3BAC">
              <w:rPr>
                <w:rFonts w:ascii="Arial" w:hAnsi="Arial" w:cs="Arial"/>
                <w:sz w:val="14"/>
                <w:szCs w:val="14"/>
              </w:rPr>
              <w:t>(EDTA-2K; EDTA-3K; EDTA-2Na)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rPr>
                <w:rFonts w:ascii="Arial" w:hAnsi="Arial" w:cs="Arial"/>
                <w:sz w:val="16"/>
                <w:szCs w:val="16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rPr>
                <w:rFonts w:ascii="Arial" w:hAnsi="Arial" w:cs="Arial"/>
                <w:sz w:val="16"/>
                <w:szCs w:val="16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>W tym samym dniu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rPr>
                <w:rFonts w:ascii="Arial" w:hAnsi="Arial" w:cs="Arial"/>
                <w:sz w:val="14"/>
                <w:szCs w:val="14"/>
              </w:rPr>
            </w:pPr>
            <w:r w:rsidRPr="005C3BAC">
              <w:rPr>
                <w:rFonts w:ascii="Arial" w:hAnsi="Arial" w:cs="Arial"/>
                <w:sz w:val="14"/>
                <w:szCs w:val="14"/>
              </w:rPr>
              <w:t xml:space="preserve">Próbkę poddać analizie w ciągu 3 – 4 godzin od pobrania, lub przechowywać </w:t>
            </w:r>
          </w:p>
          <w:p w:rsidR="005C3BAC" w:rsidRPr="005C3BAC" w:rsidRDefault="005C3BAC" w:rsidP="005C3BAC">
            <w:pPr>
              <w:rPr>
                <w:rFonts w:ascii="Arial" w:hAnsi="Arial" w:cs="Arial"/>
                <w:sz w:val="14"/>
                <w:szCs w:val="14"/>
              </w:rPr>
            </w:pPr>
            <w:r w:rsidRPr="005C3BAC">
              <w:rPr>
                <w:rFonts w:ascii="Arial" w:hAnsi="Arial" w:cs="Arial"/>
                <w:sz w:val="14"/>
                <w:szCs w:val="14"/>
              </w:rPr>
              <w:t xml:space="preserve">w lodówce (2- </w:t>
            </w:r>
            <w:smartTag w:uri="urn:schemas-microsoft-com:office:smarttags" w:element="metricconverter">
              <w:smartTagPr>
                <w:attr w:name="ProductID" w:val="8ﾰC"/>
              </w:smartTagPr>
              <w:r w:rsidRPr="005C3BAC">
                <w:rPr>
                  <w:rFonts w:ascii="Arial" w:hAnsi="Arial" w:cs="Arial"/>
                  <w:sz w:val="14"/>
                  <w:szCs w:val="14"/>
                </w:rPr>
                <w:t>8°C</w:t>
              </w:r>
            </w:smartTag>
            <w:r w:rsidRPr="005C3BAC">
              <w:rPr>
                <w:rFonts w:ascii="Arial" w:hAnsi="Arial" w:cs="Arial"/>
                <w:sz w:val="14"/>
                <w:szCs w:val="14"/>
              </w:rPr>
              <w:t>) do czasu wykonania analizy (nie mrozić).</w:t>
            </w:r>
          </w:p>
          <w:p w:rsidR="005C3BAC" w:rsidRPr="005C3BAC" w:rsidRDefault="005C3BAC" w:rsidP="005C3BA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sz w:val="14"/>
                <w:szCs w:val="14"/>
              </w:rPr>
              <w:t>Przed przeprowadzeniem analizy próbki ogrzać do temperatury pokojowej, dokładnie wymieszać</w:t>
            </w:r>
            <w:r w:rsidRPr="005C3BAC">
              <w:rPr>
                <w:rFonts w:ascii="Arial" w:hAnsi="Arial" w:cs="Arial"/>
                <w:sz w:val="16"/>
                <w:szCs w:val="16"/>
              </w:rPr>
              <w:t>.</w:t>
            </w:r>
          </w:p>
          <w:p w:rsidR="005C3BAC" w:rsidRPr="005C3BAC" w:rsidRDefault="005C3BAC" w:rsidP="005C3BAC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</w:tbl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145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1"/>
        <w:gridCol w:w="1418"/>
        <w:gridCol w:w="1701"/>
        <w:gridCol w:w="1276"/>
        <w:gridCol w:w="1701"/>
        <w:gridCol w:w="1701"/>
        <w:gridCol w:w="2268"/>
        <w:gridCol w:w="1418"/>
        <w:gridCol w:w="1701"/>
      </w:tblGrid>
      <w:tr w:rsidR="005C3BAC" w:rsidRPr="005C3BAC" w:rsidTr="005C3BAC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Kod badania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Rodzaj analizy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Metoda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Referencyjne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3BAC">
              <w:rPr>
                <w:rFonts w:ascii="Arial" w:hAnsi="Arial" w:cs="Arial"/>
                <w:b/>
                <w:sz w:val="16"/>
                <w:szCs w:val="16"/>
              </w:rPr>
              <w:t>Przygoto-wanie</w:t>
            </w:r>
            <w:proofErr w:type="spellEnd"/>
            <w:r w:rsidRPr="005C3BAC">
              <w:rPr>
                <w:rFonts w:ascii="Arial" w:hAnsi="Arial" w:cs="Arial"/>
                <w:b/>
                <w:sz w:val="16"/>
                <w:szCs w:val="16"/>
              </w:rPr>
              <w:t xml:space="preserve"> pacjenta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Sposób pobrania materiału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Postępowanie</w:t>
            </w: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z pobranym materiałem (warunki i czas transportu)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Czas oczekiwania na wynik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 xml:space="preserve">Postępowanie </w:t>
            </w:r>
            <w:r w:rsidRPr="005C3BAC">
              <w:rPr>
                <w:rFonts w:ascii="Arial" w:hAnsi="Arial" w:cs="Arial"/>
                <w:b/>
                <w:sz w:val="16"/>
                <w:szCs w:val="16"/>
              </w:rPr>
              <w:br/>
              <w:t xml:space="preserve">z materiałami pobranymi do badania </w:t>
            </w:r>
            <w:r w:rsidRPr="005C3BAC">
              <w:rPr>
                <w:rFonts w:ascii="Arial" w:hAnsi="Arial" w:cs="Arial"/>
                <w:b/>
                <w:sz w:val="16"/>
                <w:szCs w:val="16"/>
              </w:rPr>
              <w:br/>
              <w:t>w laboratorium</w:t>
            </w:r>
          </w:p>
        </w:tc>
      </w:tr>
      <w:tr w:rsidR="005C3BAC" w:rsidRPr="005C3BAC" w:rsidTr="005C3BAC">
        <w:tc>
          <w:tcPr>
            <w:tcW w:w="141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5C3BAC" w:rsidRPr="005C3BAC" w:rsidRDefault="005C3BAC" w:rsidP="005C3BAC">
            <w:pPr>
              <w:spacing w:before="160"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  <w:lang w:eastAsia="pl-PL"/>
              </w:rPr>
              <w:t>Badanie ogólne moczu</w:t>
            </w:r>
            <w:r w:rsidRPr="005C3BA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36"/>
                <w:szCs w:val="3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eastAsia="pl-PL"/>
              </w:rPr>
              <w:t>(metoda półilościowa przy zastosowaniu suchych testów)</w:t>
            </w:r>
            <w:r w:rsidRPr="005C3BAC">
              <w:rPr>
                <w:rFonts w:ascii="Arial" w:eastAsia="Times New Roman" w:hAnsi="Arial" w:cs="Arial"/>
                <w:b/>
                <w:bCs/>
                <w:i/>
                <w:iCs/>
                <w:color w:val="FF0000"/>
                <w:sz w:val="36"/>
                <w:szCs w:val="36"/>
                <w:lang w:eastAsia="pl-PL"/>
              </w:rPr>
              <w:t>*</w:t>
            </w:r>
          </w:p>
        </w:tc>
      </w:tr>
      <w:tr w:rsidR="005C3BAC" w:rsidRPr="005C3BAC" w:rsidTr="005C3BAC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pH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czerwienią metylową, fenoloftaleiną, błękitem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bromotymolowym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5.0 – 7.5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Środkowy strumień moczu , wskazany mocz poranny, po zachowaniu podstawowych zasad higieny.                                  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5C3BAC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 xml:space="preserve">Próbka moczu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5C3BAC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 xml:space="preserve">ok.100 ml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5C3BAC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( ze środkowego strumienia)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                                    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before="160"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Pobrana próbka moczu powinna zostać dostarczona do pracowni w jak najkrótszym czasie od pobrania.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W sytuacji, kiedy mocz musi być przechowywany, powinien być trzymany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temperaturze ok. +</w:t>
            </w:r>
            <w:smartTag w:uri="urn:schemas-microsoft-com:office:smarttags" w:element="metricconverter">
              <w:smartTagPr>
                <w:attr w:name="ProductID" w:val="4°C"/>
              </w:smartTagPr>
              <w:r w:rsidRPr="005C3BAC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4°C</w:t>
              </w:r>
            </w:smartTag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,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Mocz przetrzymywany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temperaturze pokojowej już po kilku godzinach nie nadaje się do oceny.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Ciężar właściwy SG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Metoda refraktometryczna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1.010 – 1.030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before="160"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A07.20.20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Białko PRO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Test oparty na zasadzie błędu białkowego wskaźnika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pH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283"/>
        </w:trPr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A15.20.20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Glukoza GLU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Metoda GOD/POD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Ciała ketonowe KET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oparta na teście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Legala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lastRenderedPageBreak/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Erytrocyty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z peroksydazą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lastRenderedPageBreak/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Leukocyty LEU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solą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diazo-metoksymorfolinobenzenową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Urobilinogen UBG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solą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diazową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w normie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Bilirubina BIL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solą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diazową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283"/>
        </w:trPr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Związki nitrowe NIT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zasada testu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Griess'a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</w:tbl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tbl>
      <w:tblPr>
        <w:tblW w:w="14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418"/>
        <w:gridCol w:w="1702"/>
        <w:gridCol w:w="1276"/>
        <w:gridCol w:w="1701"/>
        <w:gridCol w:w="1701"/>
        <w:gridCol w:w="2268"/>
        <w:gridCol w:w="1418"/>
        <w:gridCol w:w="1701"/>
      </w:tblGrid>
      <w:tr w:rsidR="005C3BAC" w:rsidRPr="005C3BAC" w:rsidTr="005C3BAC">
        <w:tc>
          <w:tcPr>
            <w:tcW w:w="141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Badanie własności fizycznych i automatyczna ocena osadu moczu</w:t>
            </w:r>
          </w:p>
        </w:tc>
      </w:tr>
      <w:tr w:rsidR="005C3BAC" w:rsidRPr="005C3BAC" w:rsidTr="005C3BAC"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>A19.20.872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Barwa</w:t>
            </w:r>
          </w:p>
        </w:tc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żółty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5C3BAC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Ocenę osadu moczu najeży wykonać jak najszybciej po dostarczeniu materiału.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Nie zaleca się przechowywania materiału</w:t>
            </w:r>
          </w:p>
        </w:tc>
      </w:tr>
      <w:tr w:rsidR="005C3BAC" w:rsidRPr="005C3BAC" w:rsidTr="005C3BAC">
        <w:trPr>
          <w:trHeight w:val="283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Przejrzystość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Przejrzysty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283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Erytrocyty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 &lt; 22.7/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 &lt; 13.6/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283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Leukocyty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 &lt; 16,9/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 &lt; 13.2/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283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Agregaty 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leukocytarne</w:t>
            </w:r>
            <w:proofErr w:type="spellEnd"/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Nabłonki płaskie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 &lt; 39.6/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 &lt; 5.7/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Nabłonki okrągłe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Bakterie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 &lt;130.7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 &lt; 26.4/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Śluz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283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Drożdżaki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Pasożyty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Składniki mineralne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346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1"/>
        <w:gridCol w:w="1275"/>
        <w:gridCol w:w="1559"/>
        <w:gridCol w:w="1418"/>
        <w:gridCol w:w="1701"/>
        <w:gridCol w:w="1417"/>
        <w:gridCol w:w="2127"/>
        <w:gridCol w:w="1134"/>
        <w:gridCol w:w="1842"/>
      </w:tblGrid>
      <w:tr w:rsidR="005C3BAC" w:rsidRPr="005C3BAC" w:rsidTr="005C3BAC"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materiałami pobranymi do badania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5C3BAC" w:rsidRPr="005C3BAC" w:rsidTr="005C3BAC">
        <w:tc>
          <w:tcPr>
            <w:tcW w:w="1346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 xml:space="preserve">Badanie kału </w:t>
            </w:r>
          </w:p>
        </w:tc>
      </w:tr>
      <w:tr w:rsidR="005C3BAC" w:rsidRPr="005C3BAC" w:rsidTr="005C3BAC"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>A17.06.11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Krew utajona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kale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immunologiczna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użyciem p/ciał skierowanych przeciwko ludzkiej hemoglobinie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ujemny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(-)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Nie jest konieczne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Zaleca się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odstawić na co najmniej 48 godz. przyjmowanie substancji: alkoholu, aspiryny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Pobrać kilka grudek kału z różnych miejsc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Kał przechowywać: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lodówce do 3 dni.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tbl>
      <w:tblPr>
        <w:tblW w:w="14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02"/>
        <w:gridCol w:w="1418"/>
        <w:gridCol w:w="1701"/>
        <w:gridCol w:w="1559"/>
        <w:gridCol w:w="1560"/>
        <w:gridCol w:w="1701"/>
        <w:gridCol w:w="1985"/>
        <w:gridCol w:w="2127"/>
        <w:gridCol w:w="1418"/>
      </w:tblGrid>
      <w:tr w:rsidR="005C3BAC" w:rsidRPr="005C3BAC" w:rsidTr="005C3BAC"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5C3BAC" w:rsidRPr="005C3BAC" w:rsidTr="005C3BAC">
        <w:tc>
          <w:tcPr>
            <w:tcW w:w="145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Osmolalność</w:t>
            </w:r>
            <w:proofErr w:type="spellEnd"/>
            <w:r w:rsidRPr="005C3BAC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</w:tr>
      <w:tr w:rsidR="005C3BAC" w:rsidRPr="005C3BAC" w:rsidTr="005C3BAC">
        <w:trPr>
          <w:trHeight w:val="680"/>
        </w:trPr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N25.126.16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proofErr w:type="spellStart"/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Osmolalność</w:t>
            </w:r>
            <w:proofErr w:type="spellEnd"/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 xml:space="preserve"> osocza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kriometryczna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>280-295mOsm/kg H</w:t>
            </w:r>
            <w:r w:rsidRPr="005C3BAC">
              <w:rPr>
                <w:rFonts w:ascii="Calibri" w:eastAsia="Times New Roman" w:hAnsi="Calibri" w:cs="Times New Roman"/>
                <w:bCs/>
                <w:sz w:val="18"/>
                <w:szCs w:val="18"/>
                <w:vertAlign w:val="subscript"/>
                <w:lang w:eastAsia="pl-PL"/>
              </w:rPr>
              <w:t>2</w:t>
            </w:r>
            <w:r w:rsidRPr="005C3BAC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>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standardowe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krew  pobrana na heparynę (2,5ml)lub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osocze heparynowe (0.5 ml)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temp. 20-24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  w ciągu 3 godz. od pobrania ( krew pełna)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temp. 20-24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  w ciągu 3 godz. od pobrania ( osocze)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temp 2-8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  w ciągu 24 godz. od pobrania (dotyczy osocza)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1 godzina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Do 24 godzin przechowywać w temp 2-8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</w:t>
            </w:r>
          </w:p>
        </w:tc>
      </w:tr>
      <w:tr w:rsidR="005C3BAC" w:rsidRPr="005C3BAC" w:rsidTr="005C3BAC">
        <w:trPr>
          <w:trHeight w:val="1929"/>
        </w:trPr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lastRenderedPageBreak/>
              <w:t>N25.20.16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proofErr w:type="spellStart"/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Osmolalność</w:t>
            </w:r>
            <w:proofErr w:type="spellEnd"/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 xml:space="preserve"> moczu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kriometryczna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 xml:space="preserve">50-1200 </w:t>
            </w:r>
            <w:proofErr w:type="spellStart"/>
            <w:r w:rsidRPr="005C3BAC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>mOsm</w:t>
            </w:r>
            <w:proofErr w:type="spellEnd"/>
            <w:r w:rsidRPr="005C3BAC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>/kg H</w:t>
            </w:r>
            <w:r w:rsidRPr="005C3BAC">
              <w:rPr>
                <w:rFonts w:ascii="Calibri" w:eastAsia="Times New Roman" w:hAnsi="Calibri" w:cs="Times New Roman"/>
                <w:bCs/>
                <w:sz w:val="18"/>
                <w:szCs w:val="18"/>
                <w:vertAlign w:val="subscript"/>
                <w:lang w:eastAsia="pl-PL"/>
              </w:rPr>
              <w:t>2</w:t>
            </w:r>
            <w:r w:rsidRPr="005C3BAC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>O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standardowe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mocz (1ml)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temp. 20-24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  w ciągu 3 godz. od pobrania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temp 2-8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  w ciągu 24 godz. od pobrania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1 godzina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2FA4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Do 24 godzin przechowywać w temp 2-8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</w:t>
            </w:r>
          </w:p>
        </w:tc>
      </w:tr>
    </w:tbl>
    <w:p w:rsidR="005C3BAC" w:rsidRPr="005C3BAC" w:rsidRDefault="005C3BAC" w:rsidP="005C3BAC"/>
    <w:p w:rsidR="005C3BAC" w:rsidRDefault="005C3BAC"/>
    <w:sectPr w:rsidR="005C3BAC" w:rsidSect="005C3BAC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A81F5D"/>
    <w:multiLevelType w:val="hybridMultilevel"/>
    <w:tmpl w:val="07907514"/>
    <w:lvl w:ilvl="0" w:tplc="359851FE"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2E050E"/>
    <w:multiLevelType w:val="multilevel"/>
    <w:tmpl w:val="0458DE70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6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36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" w15:restartNumberingAfterBreak="0">
    <w:nsid w:val="366C0991"/>
    <w:multiLevelType w:val="multilevel"/>
    <w:tmpl w:val="7FB4A5E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413D1488"/>
    <w:multiLevelType w:val="multilevel"/>
    <w:tmpl w:val="0A26B1EC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4" w15:restartNumberingAfterBreak="0">
    <w:nsid w:val="4EB1312F"/>
    <w:multiLevelType w:val="multilevel"/>
    <w:tmpl w:val="E5D01B00"/>
    <w:lvl w:ilvl="0">
      <w:numFmt w:val="decimal"/>
      <w:lvlText w:val="%1.0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8" w:hanging="360"/>
      </w:pPr>
    </w:lvl>
    <w:lvl w:ilvl="2">
      <w:start w:val="1"/>
      <w:numFmt w:val="decimal"/>
      <w:lvlText w:val="%1.%2.%3"/>
      <w:lvlJc w:val="left"/>
      <w:pPr>
        <w:ind w:left="2136" w:hanging="720"/>
      </w:pPr>
    </w:lvl>
    <w:lvl w:ilvl="3">
      <w:start w:val="1"/>
      <w:numFmt w:val="decimal"/>
      <w:lvlText w:val="%1.%2.%3.%4"/>
      <w:lvlJc w:val="left"/>
      <w:pPr>
        <w:ind w:left="2844" w:hanging="720"/>
      </w:pPr>
    </w:lvl>
    <w:lvl w:ilvl="4">
      <w:start w:val="1"/>
      <w:numFmt w:val="decimal"/>
      <w:lvlText w:val="%1.%2.%3.%4.%5"/>
      <w:lvlJc w:val="left"/>
      <w:pPr>
        <w:ind w:left="3552" w:hanging="720"/>
      </w:pPr>
    </w:lvl>
    <w:lvl w:ilvl="5">
      <w:start w:val="1"/>
      <w:numFmt w:val="decimal"/>
      <w:lvlText w:val="%1.%2.%3.%4.%5.%6"/>
      <w:lvlJc w:val="left"/>
      <w:pPr>
        <w:ind w:left="4620" w:hanging="1080"/>
      </w:pPr>
    </w:lvl>
    <w:lvl w:ilvl="6">
      <w:start w:val="1"/>
      <w:numFmt w:val="decimal"/>
      <w:lvlText w:val="%1.%2.%3.%4.%5.%6.%7"/>
      <w:lvlJc w:val="left"/>
      <w:pPr>
        <w:ind w:left="5328" w:hanging="1080"/>
      </w:pPr>
    </w:lvl>
    <w:lvl w:ilvl="7">
      <w:start w:val="1"/>
      <w:numFmt w:val="decimal"/>
      <w:lvlText w:val="%1.%2.%3.%4.%5.%6.%7.%8"/>
      <w:lvlJc w:val="left"/>
      <w:pPr>
        <w:ind w:left="6396" w:hanging="1440"/>
      </w:pPr>
    </w:lvl>
    <w:lvl w:ilvl="8">
      <w:start w:val="1"/>
      <w:numFmt w:val="decimal"/>
      <w:lvlText w:val="%1.%2.%3.%4.%5.%6.%7.%8.%9"/>
      <w:lvlJc w:val="left"/>
      <w:pPr>
        <w:ind w:left="7104" w:hanging="1440"/>
      </w:pPr>
    </w:lvl>
  </w:abstractNum>
  <w:abstractNum w:abstractNumId="5" w15:restartNumberingAfterBreak="0">
    <w:nsid w:val="730D0AE3"/>
    <w:multiLevelType w:val="hybridMultilevel"/>
    <w:tmpl w:val="913E7E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69C5"/>
    <w:rsid w:val="000069C5"/>
    <w:rsid w:val="005C2FA4"/>
    <w:rsid w:val="005C3BAC"/>
    <w:rsid w:val="00821870"/>
    <w:rsid w:val="00AE7F4A"/>
    <w:rsid w:val="00BD4DDF"/>
    <w:rsid w:val="00CD7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08E0172-DEDB-456F-9F72-8BE054622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4">
    <w:name w:val="heading 4"/>
    <w:basedOn w:val="Normalny"/>
    <w:next w:val="Normalny"/>
    <w:link w:val="Nagwek4Znak"/>
    <w:qFormat/>
    <w:rsid w:val="005C3B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rsid w:val="005C3BAC"/>
    <w:rPr>
      <w:rFonts w:ascii="Times New Roman" w:eastAsia="Times New Roman" w:hAnsi="Times New Roman" w:cs="Times New Roman"/>
      <w:sz w:val="26"/>
      <w:szCs w:val="20"/>
      <w:lang w:eastAsia="pl-PL"/>
    </w:rPr>
  </w:style>
  <w:style w:type="numbering" w:customStyle="1" w:styleId="Bezlisty1">
    <w:name w:val="Bez listy1"/>
    <w:next w:val="Bezlisty"/>
    <w:uiPriority w:val="99"/>
    <w:semiHidden/>
    <w:rsid w:val="005C3BAC"/>
  </w:style>
  <w:style w:type="table" w:styleId="Tabela-Siatka">
    <w:name w:val="Table Grid"/>
    <w:basedOn w:val="Standardowy"/>
    <w:rsid w:val="005C3B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uiPriority w:val="99"/>
    <w:qFormat/>
    <w:rsid w:val="005C3BAC"/>
    <w:pPr>
      <w:spacing w:after="0" w:line="240" w:lineRule="atLeast"/>
      <w:jc w:val="center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ytuZnak">
    <w:name w:val="Tytuł Znak"/>
    <w:basedOn w:val="Domylnaczcionkaakapitu"/>
    <w:link w:val="Tytu"/>
    <w:uiPriority w:val="99"/>
    <w:rsid w:val="005C3BAC"/>
    <w:rPr>
      <w:rFonts w:ascii="Times New Roman" w:eastAsia="Times New Roman" w:hAnsi="Times New Roman" w:cs="Times New Roman"/>
      <w:sz w:val="26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5C3BA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5C3BA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rsid w:val="005C3BAC"/>
    <w:pPr>
      <w:spacing w:after="0" w:line="240" w:lineRule="auto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5C3BAC"/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styleId="Numerstrony">
    <w:name w:val="page number"/>
    <w:basedOn w:val="Domylnaczcionkaakapitu"/>
    <w:rsid w:val="005C3BAC"/>
  </w:style>
  <w:style w:type="paragraph" w:styleId="Nagwek">
    <w:name w:val="header"/>
    <w:basedOn w:val="Normalny"/>
    <w:link w:val="NagwekZnak"/>
    <w:uiPriority w:val="99"/>
    <w:rsid w:val="005C3BA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5C3BA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Pogrubienie">
    <w:name w:val="Strong"/>
    <w:uiPriority w:val="22"/>
    <w:qFormat/>
    <w:rsid w:val="005C3BAC"/>
    <w:rPr>
      <w:b/>
      <w:bCs/>
    </w:rPr>
  </w:style>
  <w:style w:type="character" w:styleId="Odwoaniedokomentarza">
    <w:name w:val="annotation reference"/>
    <w:rsid w:val="005C3BA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5C3B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C3BA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5C3BAC"/>
    <w:rPr>
      <w:b/>
      <w:bCs/>
      <w:lang w:val="x-none" w:eastAsia="x-none"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5C3BAC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rsid w:val="005C3BAC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rsid w:val="005C3BAC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Akapitzlist">
    <w:name w:val="List Paragraph"/>
    <w:basedOn w:val="Normalny"/>
    <w:uiPriority w:val="34"/>
    <w:qFormat/>
    <w:rsid w:val="005C3BA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5C3BA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5C3BAC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NormalnyWeb">
    <w:name w:val="Normal (Web)"/>
    <w:basedOn w:val="Normalny"/>
    <w:uiPriority w:val="99"/>
    <w:unhideWhenUsed/>
    <w:rsid w:val="005C3BA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msonormal0">
    <w:name w:val="msonormal"/>
    <w:basedOn w:val="Normalny"/>
    <w:uiPriority w:val="99"/>
    <w:rsid w:val="005C3BA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647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19</Pages>
  <Words>2927</Words>
  <Characters>17566</Characters>
  <Application>Microsoft Office Word</Application>
  <DocSecurity>0</DocSecurity>
  <Lines>146</Lines>
  <Paragraphs>40</Paragraphs>
  <ScaleCrop>false</ScaleCrop>
  <Company/>
  <LinksUpToDate>false</LinksUpToDate>
  <CharactersWithSpaces>20453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Udycz</dc:creator>
  <cp:keywords/>
  <dc:description/>
  <cp:lastModifiedBy>Monika Udycz</cp:lastModifiedBy>
  <cp:revision>5</cp:revision>
  <dcterms:created xsi:type="dcterms:W3CDTF">2022-03-28T11:15:00Z</dcterms:created>
  <dcterms:modified xsi:type="dcterms:W3CDTF">2022-03-28T11:35:00Z</dcterms:modified>
</cp:coreProperties>
</file>