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1840" w:rsidRDefault="000E1840" w:rsidP="000E184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0E1840" w:rsidRDefault="000E1840" w:rsidP="00B11A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E1840" w:rsidRDefault="00DE5C60" w:rsidP="000E1840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E5C60">
        <w:rPr>
          <w:rFonts w:ascii="Times New Roman" w:hAnsi="Times New Roman" w:cs="Times New Roman"/>
          <w:b/>
          <w:sz w:val="32"/>
          <w:szCs w:val="32"/>
        </w:rPr>
        <w:t>PRACOWNIA TOKSYKOLOGICZNA</w:t>
      </w:r>
    </w:p>
    <w:p w:rsidR="00DE5C60" w:rsidRDefault="00DE5C60" w:rsidP="000E1840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Ul. Jakubowskiego 2 – tel. całodobowy 12 400 36 49</w:t>
      </w:r>
    </w:p>
    <w:p w:rsidR="00DE5C60" w:rsidRDefault="00DE5C60" w:rsidP="000E1840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DE5C60" w:rsidRPr="00DE5C60" w:rsidRDefault="00DE5C60" w:rsidP="000E184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5C60">
        <w:rPr>
          <w:rFonts w:ascii="Times New Roman" w:hAnsi="Times New Roman" w:cs="Times New Roman"/>
          <w:b/>
          <w:sz w:val="28"/>
          <w:szCs w:val="28"/>
        </w:rPr>
        <w:t xml:space="preserve">Badania wykonywane w trybie </w:t>
      </w:r>
      <w:r w:rsidRPr="00DE5C60">
        <w:rPr>
          <w:rFonts w:ascii="Times New Roman" w:hAnsi="Times New Roman" w:cs="Times New Roman"/>
          <w:b/>
          <w:color w:val="FF0000"/>
          <w:sz w:val="28"/>
          <w:szCs w:val="28"/>
        </w:rPr>
        <w:t>CITO</w:t>
      </w:r>
      <w:r w:rsidRPr="00DE5C60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DE5C60">
        <w:rPr>
          <w:rFonts w:ascii="Times New Roman" w:hAnsi="Times New Roman" w:cs="Times New Roman"/>
          <w:b/>
          <w:color w:val="00B0F0"/>
          <w:sz w:val="28"/>
          <w:szCs w:val="28"/>
        </w:rPr>
        <w:t>RUTYNA</w:t>
      </w:r>
    </w:p>
    <w:p w:rsidR="00E26AF1" w:rsidRPr="00E26AF1" w:rsidRDefault="00E26AF1" w:rsidP="00E26AF1">
      <w:pPr>
        <w:pStyle w:val="Tekstkomentarza1"/>
        <w:rPr>
          <w:sz w:val="18"/>
          <w:szCs w:val="18"/>
        </w:rPr>
      </w:pPr>
    </w:p>
    <w:p w:rsidR="00D61182" w:rsidRDefault="00D61182" w:rsidP="00E26AF1">
      <w:pPr>
        <w:pStyle w:val="Tekstkomentarza1"/>
        <w:rPr>
          <w:b/>
          <w:sz w:val="24"/>
          <w:szCs w:val="24"/>
        </w:rPr>
      </w:pPr>
    </w:p>
    <w:p w:rsidR="00D61182" w:rsidRDefault="00D61182" w:rsidP="003F158C">
      <w:pPr>
        <w:pStyle w:val="Tekstkomentarza1"/>
        <w:rPr>
          <w:sz w:val="24"/>
          <w:szCs w:val="24"/>
        </w:rPr>
      </w:pPr>
    </w:p>
    <w:p w:rsidR="00D61182" w:rsidRDefault="00D61182" w:rsidP="003F158C">
      <w:pPr>
        <w:pStyle w:val="Tekstkomentarza1"/>
        <w:rPr>
          <w:sz w:val="24"/>
          <w:szCs w:val="24"/>
        </w:rPr>
      </w:pPr>
    </w:p>
    <w:p w:rsidR="00DE5C60" w:rsidRDefault="00DE5C60" w:rsidP="00DE5C60">
      <w:pPr>
        <w:pStyle w:val="Tekstkomentarza1"/>
        <w:rPr>
          <w:b/>
          <w:sz w:val="24"/>
          <w:szCs w:val="24"/>
        </w:rPr>
      </w:pPr>
      <w:r>
        <w:rPr>
          <w:b/>
          <w:sz w:val="24"/>
          <w:szCs w:val="24"/>
        </w:rPr>
        <w:t>Materiał do badań toksykologicznych przyjmowany jest 24 godz./dobę</w:t>
      </w:r>
    </w:p>
    <w:p w:rsidR="00DE5C60" w:rsidRDefault="00DE5C60" w:rsidP="00DE5C60">
      <w:pPr>
        <w:pStyle w:val="Tekstkomentarza1"/>
        <w:rPr>
          <w:b/>
          <w:sz w:val="24"/>
          <w:szCs w:val="24"/>
        </w:rPr>
      </w:pPr>
    </w:p>
    <w:p w:rsidR="00DE5C60" w:rsidRPr="003F158C" w:rsidRDefault="00DE5C60" w:rsidP="00DE5C60">
      <w:pPr>
        <w:pStyle w:val="Tekstkomentarza1"/>
        <w:jc w:val="both"/>
        <w:rPr>
          <w:sz w:val="24"/>
          <w:szCs w:val="24"/>
        </w:rPr>
      </w:pPr>
      <w:r w:rsidRPr="003F158C">
        <w:rPr>
          <w:b/>
          <w:sz w:val="24"/>
          <w:szCs w:val="24"/>
        </w:rPr>
        <w:t xml:space="preserve">Oznaczenia toksykologiczne w trybie </w:t>
      </w:r>
      <w:r>
        <w:rPr>
          <w:b/>
          <w:sz w:val="24"/>
          <w:szCs w:val="24"/>
        </w:rPr>
        <w:t>„</w:t>
      </w:r>
      <w:r w:rsidRPr="003F158C">
        <w:rPr>
          <w:b/>
          <w:sz w:val="24"/>
          <w:szCs w:val="24"/>
        </w:rPr>
        <w:t>CITO</w:t>
      </w:r>
      <w:r>
        <w:rPr>
          <w:b/>
          <w:sz w:val="24"/>
          <w:szCs w:val="24"/>
        </w:rPr>
        <w:t>” i „Rutyna”</w:t>
      </w:r>
      <w:r w:rsidRPr="003F158C">
        <w:rPr>
          <w:sz w:val="24"/>
          <w:szCs w:val="24"/>
        </w:rPr>
        <w:t xml:space="preserve"> wykonuje się w próbkach krwi i moczu, gdy tylko istnieje potrzeba diagnostyki toksykologicznej, bez przygotowania pacjenta. Nie stosować etanolu do dezynfekcji miejsca pobrania krwi. </w:t>
      </w:r>
      <w:r>
        <w:rPr>
          <w:sz w:val="24"/>
          <w:szCs w:val="24"/>
        </w:rPr>
        <w:t xml:space="preserve">Probówki na krew i pojemniki na mocz muszą być </w:t>
      </w:r>
      <w:r w:rsidRPr="003F158C">
        <w:rPr>
          <w:sz w:val="24"/>
          <w:szCs w:val="24"/>
        </w:rPr>
        <w:t>jednorazow</w:t>
      </w:r>
      <w:r>
        <w:rPr>
          <w:sz w:val="24"/>
          <w:szCs w:val="24"/>
        </w:rPr>
        <w:t xml:space="preserve">e, </w:t>
      </w:r>
      <w:r w:rsidR="001C3A65">
        <w:rPr>
          <w:sz w:val="24"/>
          <w:szCs w:val="24"/>
        </w:rPr>
        <w:br/>
      </w:r>
      <w:bookmarkStart w:id="0" w:name="_GoBack"/>
      <w:bookmarkEnd w:id="0"/>
      <w:r>
        <w:rPr>
          <w:sz w:val="24"/>
          <w:szCs w:val="24"/>
        </w:rPr>
        <w:t>z tworzywa sztucznego (nie stosować szkła).</w:t>
      </w:r>
    </w:p>
    <w:p w:rsidR="00DE5C60" w:rsidRDefault="00DE5C60" w:rsidP="00DE5C60">
      <w:pPr>
        <w:pStyle w:val="Tekstkomentarza1"/>
        <w:rPr>
          <w:rFonts w:ascii="Czcionka tekstu podstawowego" w:hAnsi="Czcionka tekstu podstawowego" w:cs="Czcionka tekstu podstawowego"/>
          <w:color w:val="000000"/>
          <w:sz w:val="24"/>
          <w:szCs w:val="24"/>
        </w:rPr>
      </w:pPr>
    </w:p>
    <w:p w:rsidR="00DE5C60" w:rsidRPr="000E1840" w:rsidRDefault="00DE5C60" w:rsidP="00DE5C60">
      <w:pPr>
        <w:pStyle w:val="Tekstkomentarza1"/>
        <w:rPr>
          <w:color w:val="000000"/>
          <w:sz w:val="24"/>
          <w:szCs w:val="24"/>
        </w:rPr>
      </w:pPr>
    </w:p>
    <w:p w:rsidR="00DE5C60" w:rsidRPr="004A57D0" w:rsidRDefault="00DE5C60" w:rsidP="00DE5C60">
      <w:pPr>
        <w:pStyle w:val="Tekstkomentarza1"/>
        <w:jc w:val="both"/>
        <w:rPr>
          <w:color w:val="000000"/>
          <w:sz w:val="24"/>
          <w:szCs w:val="24"/>
        </w:rPr>
      </w:pPr>
      <w:r w:rsidRPr="004A57D0">
        <w:rPr>
          <w:b/>
          <w:sz w:val="24"/>
          <w:szCs w:val="24"/>
        </w:rPr>
        <w:t xml:space="preserve">Oznaczenia stężenia leków w trybie </w:t>
      </w:r>
      <w:r>
        <w:rPr>
          <w:b/>
          <w:sz w:val="24"/>
          <w:szCs w:val="24"/>
        </w:rPr>
        <w:t>„</w:t>
      </w:r>
      <w:r w:rsidRPr="004A57D0">
        <w:rPr>
          <w:b/>
          <w:sz w:val="24"/>
          <w:szCs w:val="24"/>
        </w:rPr>
        <w:t>Rutyna</w:t>
      </w:r>
      <w:r>
        <w:rPr>
          <w:b/>
          <w:sz w:val="24"/>
          <w:szCs w:val="24"/>
        </w:rPr>
        <w:t>”</w:t>
      </w:r>
      <w:r w:rsidRPr="004A57D0">
        <w:rPr>
          <w:b/>
          <w:sz w:val="24"/>
          <w:szCs w:val="24"/>
        </w:rPr>
        <w:t xml:space="preserve"> dla potrzeb monitorowania stężenia leków</w:t>
      </w:r>
      <w:r>
        <w:rPr>
          <w:b/>
          <w:sz w:val="24"/>
          <w:szCs w:val="24"/>
        </w:rPr>
        <w:t xml:space="preserve">. </w:t>
      </w:r>
      <w:r w:rsidRPr="004A57D0">
        <w:rPr>
          <w:color w:val="000000"/>
          <w:sz w:val="24"/>
          <w:szCs w:val="24"/>
        </w:rPr>
        <w:t xml:space="preserve">Monitorowanie stężenia leku rozpoczyna się po upływie minimum pięciu biologicznych okresów półtrwania leku (t </w:t>
      </w:r>
      <w:r w:rsidRPr="004A57D0">
        <w:rPr>
          <w:color w:val="000000"/>
          <w:sz w:val="24"/>
          <w:szCs w:val="24"/>
          <w:vertAlign w:val="subscript"/>
        </w:rPr>
        <w:t>1/2</w:t>
      </w:r>
      <w:r w:rsidRPr="004A57D0">
        <w:rPr>
          <w:color w:val="000000"/>
          <w:sz w:val="24"/>
          <w:szCs w:val="24"/>
        </w:rPr>
        <w:t>)</w:t>
      </w:r>
      <w:r>
        <w:rPr>
          <w:color w:val="000000"/>
          <w:sz w:val="24"/>
          <w:szCs w:val="24"/>
        </w:rPr>
        <w:t>. N</w:t>
      </w:r>
      <w:r w:rsidRPr="004A57D0">
        <w:rPr>
          <w:color w:val="000000"/>
          <w:sz w:val="24"/>
          <w:szCs w:val="24"/>
        </w:rPr>
        <w:t>ależy pobrać krew przed przyjęciem leku przez pacjenta (stężenie minimalne) lub po czasie t</w:t>
      </w:r>
      <w:r w:rsidRPr="004A57D0">
        <w:rPr>
          <w:color w:val="000000"/>
          <w:sz w:val="24"/>
          <w:szCs w:val="24"/>
          <w:vertAlign w:val="subscript"/>
        </w:rPr>
        <w:t>max</w:t>
      </w:r>
      <w:r w:rsidRPr="004A57D0">
        <w:rPr>
          <w:color w:val="000000"/>
          <w:sz w:val="24"/>
          <w:szCs w:val="24"/>
        </w:rPr>
        <w:t xml:space="preserve"> (stężenie maksymalne).</w:t>
      </w:r>
    </w:p>
    <w:p w:rsidR="00DE5C60" w:rsidRPr="004A57D0" w:rsidRDefault="00DE5C60" w:rsidP="00DE5C60">
      <w:pPr>
        <w:pStyle w:val="Tekstkomentarza1"/>
        <w:rPr>
          <w:sz w:val="24"/>
          <w:szCs w:val="24"/>
        </w:rPr>
      </w:pPr>
    </w:p>
    <w:p w:rsidR="00DE5C60" w:rsidRPr="003F158C" w:rsidRDefault="00DE5C60" w:rsidP="00DE5C60">
      <w:pPr>
        <w:pStyle w:val="Tekstkomentarza1"/>
        <w:rPr>
          <w:b/>
          <w:color w:val="000000"/>
          <w:sz w:val="24"/>
          <w:szCs w:val="24"/>
        </w:rPr>
      </w:pPr>
      <w:r w:rsidRPr="003F158C">
        <w:rPr>
          <w:b/>
          <w:color w:val="000000"/>
          <w:sz w:val="24"/>
          <w:szCs w:val="24"/>
        </w:rPr>
        <w:t>Oznaczenie miedzi w zbiórce dobowej moczu:</w:t>
      </w:r>
    </w:p>
    <w:p w:rsidR="00DE5C60" w:rsidRPr="003F158C" w:rsidRDefault="00DE5C60" w:rsidP="00DE5C60">
      <w:pPr>
        <w:pStyle w:val="Tekstkomentarza1"/>
        <w:jc w:val="both"/>
        <w:rPr>
          <w:color w:val="000000"/>
          <w:sz w:val="24"/>
          <w:szCs w:val="24"/>
        </w:rPr>
      </w:pPr>
      <w:r w:rsidRPr="003F158C">
        <w:rPr>
          <w:color w:val="000000"/>
          <w:sz w:val="24"/>
          <w:szCs w:val="24"/>
        </w:rPr>
        <w:t>Zbiórkę dobową rozpoczyna się zwykle rano po opróżnieniu pęcherza i odrzuceniu porcji moczu po nocy (należy dokładnie zanotować godzinę). Następnie do nowego, jednorazowego, zakręcanego naczynia wykonanego z tworzywa sztucznego zbiera się wszystkie dalsze porcje moczu, które przechowuje się zamknięte w lodówce. Ostatnią porcją kończącą zbiórkę jest porcja "po nocy". Po dołączeniu rannej porcji moczu oddanej dokładnie 24 godziny po rozpoczęciu zbiórki należy starannie wymieszać i zmierzyć objętość zgromadzonego moczu, a następnie wysłać do laboratorium próbkę ok. 50 ml z informacją o objętości całej zbiórki.</w:t>
      </w:r>
    </w:p>
    <w:p w:rsidR="00DE5C60" w:rsidRDefault="00DE5C60" w:rsidP="00DE5C60">
      <w:pPr>
        <w:pStyle w:val="Tekstkomentarza1"/>
        <w:rPr>
          <w:sz w:val="24"/>
          <w:szCs w:val="24"/>
        </w:rPr>
      </w:pPr>
    </w:p>
    <w:p w:rsidR="00DE5C60" w:rsidRDefault="00DE5C60" w:rsidP="00DE5C60">
      <w:pPr>
        <w:pStyle w:val="Tekstkomentarza1"/>
        <w:rPr>
          <w:sz w:val="24"/>
          <w:szCs w:val="24"/>
        </w:rPr>
        <w:sectPr w:rsidR="00DE5C60" w:rsidSect="00F11ACA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W w:w="14608" w:type="dxa"/>
        <w:tblInd w:w="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75"/>
        <w:gridCol w:w="2949"/>
        <w:gridCol w:w="2447"/>
        <w:gridCol w:w="1559"/>
        <w:gridCol w:w="2703"/>
        <w:gridCol w:w="1125"/>
        <w:gridCol w:w="1125"/>
        <w:gridCol w:w="1125"/>
      </w:tblGrid>
      <w:tr w:rsidR="00DE5C60" w:rsidRPr="00B63006" w:rsidTr="00AD2DD3">
        <w:trPr>
          <w:trHeight w:val="734"/>
        </w:trPr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lastRenderedPageBreak/>
              <w:t>Kod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Oznaczenie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Materiał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Wartości</w:t>
            </w:r>
          </w:p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referencyjne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Poziom błędów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Tryb zlecenia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Czas oczekiwania na wynik</w:t>
            </w:r>
          </w:p>
          <w:p w:rsidR="00DE5C60" w:rsidRPr="008E0AB4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8E0AB4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(maksymalny)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K15.11.193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Cynk (Zn)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70-130 µg/dl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52191" w:rsidTr="00AD2DD3">
        <w:trPr>
          <w:trHeight w:val="51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K93.105.194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Acetylocholinesteraza </w:t>
            </w:r>
          </w:p>
          <w:p w:rsidR="00DE5C60" w:rsidRPr="00B5219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krwinkowa (AChE)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krew żylna</w:t>
            </w:r>
          </w:p>
          <w:p w:rsidR="00DE5C60" w:rsidRPr="00B5219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4000-8000 IU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2 godz.</w:t>
            </w:r>
          </w:p>
        </w:tc>
      </w:tr>
      <w:tr w:rsidR="00DE5C60" w:rsidRPr="00B63006" w:rsidTr="00AD2DD3">
        <w:trPr>
          <w:trHeight w:val="572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M96.11.193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Miedź (Cu)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70-160 µg/dl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(dorośli)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695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20-70 µg/dl</w:t>
            </w:r>
          </w:p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(niemowlęta do 6 miesiąca życia)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M96.202.193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Miedź (Cu)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(dobowa zbiórka)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 40 µg/24 h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P01.20.054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1-hydroksypiren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HPLC-Fl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µg/g kreatyniny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 dni</w:t>
            </w:r>
          </w:p>
        </w:tc>
      </w:tr>
      <w:tr w:rsidR="00DE5C60" w:rsidRPr="00B52191" w:rsidTr="00AD2DD3">
        <w:trPr>
          <w:trHeight w:val="37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P05.20.1132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Opiaty (Morfina, Kodeina)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294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P05.20.059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Opiaty (Morfina, Kodeina)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33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P06.20.1133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Amanityna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ELISA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off=5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</w:t>
            </w: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godz.</w:t>
            </w:r>
          </w:p>
        </w:tc>
      </w:tr>
      <w:tr w:rsidR="00DE5C60" w:rsidRPr="00B52191" w:rsidTr="00AD2DD3">
        <w:trPr>
          <w:trHeight w:val="38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P07.20.1132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Amfetamina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27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P07.20.059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Amfetamina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37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P13.20.1132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Barbiturany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268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P13.20.059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Barbiturany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P27.11.055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Etylenowy glikol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</w:t>
            </w: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godz.</w:t>
            </w:r>
          </w:p>
        </w:tc>
      </w:tr>
      <w:tr w:rsidR="00DE5C60" w:rsidRPr="00B5219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P27.20.055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Etylenowy glikol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</w:t>
            </w: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godz.</w:t>
            </w:r>
          </w:p>
        </w:tc>
      </w:tr>
      <w:tr w:rsidR="00DE5C60" w:rsidRPr="00B5219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P31.11.1132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Alkohol etylowy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&lt;0,2 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P31.105.055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Alkohol etylowy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 xml:space="preserve">krew żylna </w:t>
            </w:r>
          </w:p>
          <w:p w:rsidR="00DE5C60" w:rsidRPr="00B5219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&lt;0,2 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4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P32.20.1132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Ekstazy (MDMA)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37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P32.20.059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Ekstazy (MDMA)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off=500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P33.20.194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Fenol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16 mg/l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2 godz.</w:t>
            </w:r>
          </w:p>
        </w:tc>
      </w:tr>
      <w:tr w:rsidR="00DE5C60" w:rsidRPr="00B5219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P34.20.053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Kwas fenoksyoctowy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B52191" w:rsidTr="00AD2DD3">
        <w:trPr>
          <w:trHeight w:val="457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P36.20.059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Fencyklidyna (PCP)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off=25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55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P41.105.194</w:t>
            </w:r>
          </w:p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Hemoglobina tlenkowęglowa (COHb)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 xml:space="preserve">krew żylna </w:t>
            </w:r>
          </w:p>
          <w:p w:rsidR="00DE5C60" w:rsidRPr="00B5219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2,5% (niepalący)</w:t>
            </w:r>
          </w:p>
          <w:p w:rsidR="00DE5C60" w:rsidRPr="00B5219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10% (osoby palące)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lastRenderedPageBreak/>
              <w:t>P43.105.193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Kadm (Cd)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krew żylna</w:t>
            </w:r>
          </w:p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0,4–1,0 µg/l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P43.20.193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Kadm (Cd)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 1,0 µg/l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52191" w:rsidTr="00AD2DD3">
        <w:trPr>
          <w:trHeight w:val="40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P44.20.059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Kanabinoidy syntetyczne (JWH)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off=50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31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P45.20.1132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Kokaina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52191" w:rsidTr="00AD2DD3">
        <w:trPr>
          <w:trHeight w:val="36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P45.20.059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Kokaina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P46.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20</w:t>
            </w: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.05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Kotynina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5219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5219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Leki-identyfikacja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(ChromTox)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DE5C60" w:rsidRPr="00FD19B9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P49.20.056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Leki-identyfikacja (ChromTox)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dzień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Atropina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P4903.20.056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Atropina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Bisoprolol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P4904.20.056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Bisoprolol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Kaptopryl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P4905.20.056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Kaptopryl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P4906.20.053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Chlorprotiksen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P4906.20.056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Chlorprotiksen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P4907.20.053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Dekstrometorfan (Acodin)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P4907.20.056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Dekstrometorfan (Acodin)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P4908.20.053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Dimenhydrynat (Aviomarin)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P4909.20.053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Flupentyksol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P4909.20.056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Flupentyksol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P4910.20.053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Haloperidol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P4910.20.056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Haloperidol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P4911.20.053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Hydroksyzyna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P4911.20.056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Hydroksyzyna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Klonidyna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P4913.20.056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Klonidyna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Klozapina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P4914.20.056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Klozapina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51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P4914.11.05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Klozapina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100-700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P4917.20.053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Metamizol (Pyralgina)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P4917.20.056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Metamizol (Pyralgina)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P4918.20.053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Metoprolol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P4918.20.056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Metoprolol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P4920.20.053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Olanzapina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P4920.20.056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Olanzapina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P4921.20.053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Opipramol (Pramolan)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P4923.20.053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Petydyna (Dolargan)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P4923.20.056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Petydyna (Dolargan)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P4924.20.053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Prydynol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2A6F12" w:rsidTr="00AD2DD3">
        <w:trPr>
          <w:trHeight w:val="51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sz w:val="18"/>
                <w:szCs w:val="18"/>
              </w:rPr>
              <w:t>P4928.20.059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b/>
                <w:sz w:val="18"/>
                <w:szCs w:val="18"/>
              </w:rPr>
              <w:t>Tramadol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b/>
                <w:sz w:val="18"/>
                <w:szCs w:val="18"/>
              </w:rPr>
              <w:t>cut off=100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P4928.20.056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Tramadol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P4930.20.053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Wenlafaksyna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P4930.20.056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Wenlafaksyna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P4931.20.059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Zolpidem (Stilnox)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P4931.20.056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Zolpidem (Stilnox)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P4932.20.053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Zopiklon (Imovane)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Zuklopentyksol (Clopixol)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Baklofen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P4934.20.056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Baklofen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Kwetiapina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P4935.20.056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Kwetiapina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44585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P4936.20.053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Mianseryna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44585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44585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P4938.20.054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Sulpiryd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P4939.20.054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Risperidon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2A6F12" w:rsidTr="00AD2DD3">
        <w:trPr>
          <w:trHeight w:val="32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sz w:val="18"/>
                <w:szCs w:val="18"/>
              </w:rPr>
              <w:t>P4940.20.059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b/>
                <w:sz w:val="18"/>
                <w:szCs w:val="18"/>
              </w:rPr>
              <w:t>Oksykodon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b/>
                <w:sz w:val="18"/>
                <w:szCs w:val="18"/>
              </w:rPr>
              <w:t>cut off=100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2A6F12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A6F12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8E6FD4" w:rsidTr="00AD2DD3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E6FD4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E6FD4">
              <w:rPr>
                <w:rFonts w:ascii="Times New Roman" w:hAnsi="Times New Roman" w:cs="Times New Roman"/>
                <w:sz w:val="18"/>
                <w:szCs w:val="18"/>
              </w:rPr>
              <w:t>P4949.20.059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E6FD4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E6FD4">
              <w:rPr>
                <w:rFonts w:ascii="Times New Roman" w:hAnsi="Times New Roman" w:cs="Times New Roman"/>
                <w:b/>
                <w:sz w:val="18"/>
                <w:szCs w:val="18"/>
              </w:rPr>
              <w:t>Ketamina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E6FD4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E6FD4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E6FD4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E6FD4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8E6FD4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E6FD4">
              <w:rPr>
                <w:rFonts w:ascii="Times New Roman" w:hAnsi="Times New Roman" w:cs="Times New Roman"/>
                <w:b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8E6FD4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E6FD4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8E6FD4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E6FD4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63006" w:rsidTr="00AD2DD3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P4950.11.1132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Lamotrygina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3-15 μg/ml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P4951.11.1132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Levetiracetam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10-37 μg/ml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P4952.20.054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Metoksetamina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8C4FB7" w:rsidTr="00AD2DD3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sz w:val="18"/>
                <w:szCs w:val="18"/>
              </w:rPr>
              <w:t>P4956.20.054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Sertralina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3 dni</w:t>
            </w:r>
          </w:p>
        </w:tc>
      </w:tr>
      <w:tr w:rsidR="00DE5C60" w:rsidRPr="008C4FB7" w:rsidTr="00AD2DD3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sz w:val="18"/>
                <w:szCs w:val="18"/>
              </w:rPr>
              <w:t>P4956.20.056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Sertralina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EB76A1" w:rsidTr="00AD2DD3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P4961.20.059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Buprenorfina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off=10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P4963.20.059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Fentanyl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off=10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P51.105.055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Lotne związki organiczne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krew żylna</w:t>
            </w:r>
          </w:p>
          <w:p w:rsidR="00DE5C60" w:rsidRPr="00EB76A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P51.20.055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Lotne związki organiczne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P5102.055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Izopropanol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krew żylna</w:t>
            </w:r>
          </w:p>
          <w:p w:rsidR="00DE5C60" w:rsidRPr="00EB76A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2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P5102.20.055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Izopropanol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2 godz.</w:t>
            </w:r>
          </w:p>
        </w:tc>
      </w:tr>
      <w:tr w:rsidR="00DE5C60" w:rsidRPr="00EB76A1" w:rsidTr="00AD2DD3">
        <w:trPr>
          <w:trHeight w:val="37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P57.20.059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Metadon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368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P59.20.059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Metakwalon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39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P60.20.059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Metamfetamina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P61.105.194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Methemoglobina (MetHb)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krew żylna</w:t>
            </w:r>
          </w:p>
          <w:p w:rsidR="00DE5C60" w:rsidRPr="00EB76A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&lt;2 %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P65.105.055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Metanol (Alkohol metylowy)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krew żylna</w:t>
            </w:r>
          </w:p>
          <w:p w:rsidR="00DE5C60" w:rsidRPr="00EB76A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P65.20.055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Metanol (Alkohol metylowy)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godz.</w:t>
            </w:r>
          </w:p>
        </w:tc>
      </w:tr>
      <w:tr w:rsidR="00DE5C60" w:rsidRPr="00B63006" w:rsidTr="00AD2DD3">
        <w:trPr>
          <w:trHeight w:val="83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P71.105.193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Ołów (Pb)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krew żylna 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&lt; 1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00 µg/l (dorośli)</w:t>
            </w:r>
          </w:p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 60 µg/l (dzieci)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P71.202.193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Ołów (Pb)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 (dobowa zbiórka)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 80 µg/24 h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P72.20.054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Mefedron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P72.20.059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Mefedron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P73.20.191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p-aminofenol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582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P75.11.1132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Acetaminofen (Paracetamol)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5-20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548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&gt;20 mgl (stężenie potencjalnie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E5C60" w:rsidRPr="00EB76A1" w:rsidTr="00AD2DD3">
        <w:trPr>
          <w:trHeight w:val="298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P75.20.059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Acetaminofen (Paracetamol)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off=5000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8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P79.20.1132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Benzodiazepiny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off=200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6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P79.11.1132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Benzodiazepiny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off=70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8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P79.20.059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Benzodiazepiny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P81.20.26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Fenotiazyny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test barwny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31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P84.20.059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Propoksyfen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8C4FB7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sz w:val="18"/>
                <w:szCs w:val="18"/>
              </w:rPr>
              <w:t>P85.20.053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Propranolol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8C4FB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4FB7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CB0117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sz w:val="18"/>
                <w:szCs w:val="18"/>
              </w:rPr>
              <w:t>P88.11.194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b/>
                <w:sz w:val="18"/>
                <w:szCs w:val="18"/>
              </w:rPr>
              <w:t>Rodanki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b/>
                <w:sz w:val="18"/>
                <w:szCs w:val="18"/>
              </w:rPr>
              <w:t>&lt; 35 mg/l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sz w:val="18"/>
                <w:szCs w:val="18"/>
              </w:rPr>
              <w:t>P88.20.194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b/>
                <w:sz w:val="18"/>
                <w:szCs w:val="18"/>
              </w:rPr>
              <w:t>Rodanki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b/>
                <w:sz w:val="18"/>
                <w:szCs w:val="18"/>
              </w:rPr>
              <w:t>&lt; 35 mg/l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CB0117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B0117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551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P91.11.194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Salicylany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100-300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433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&gt;500 mg/l (stężenie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P91.20.194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Salicylany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39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P99.20.1132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THC (Marihuana)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off=50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43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P99.20.059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THC (Marihuana)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off=50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R03.20.191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Kwas trójchlorooctowy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godz.</w:t>
            </w:r>
          </w:p>
        </w:tc>
      </w:tr>
      <w:tr w:rsidR="00DE5C60" w:rsidRPr="00EB76A1" w:rsidTr="00AD2DD3">
        <w:trPr>
          <w:trHeight w:val="644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R05.11.1132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Trójcykliczne antydepresanty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75-300 ng/ml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63006" w:rsidTr="00AD2DD3">
        <w:trPr>
          <w:trHeight w:val="554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&gt;500 ng/ml (stężenie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E5C60" w:rsidRPr="00EB76A1" w:rsidTr="00AD2DD3">
        <w:trPr>
          <w:trHeight w:val="292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R05.20.059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Trójcykliczne antydepresanty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R05.20.056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Trójcykliczne antydepresanty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R12.20.054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Katynonu pochodne (dopalacze)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R14.20.191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GHB/GBL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T05.20.053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Amitryptylina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T05.20.05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Amitryptylina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T11.1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64538A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538A">
              <w:rPr>
                <w:rFonts w:ascii="Times New Roman" w:hAnsi="Times New Roman" w:cs="Times New Roman"/>
                <w:b/>
                <w:sz w:val="18"/>
                <w:szCs w:val="18"/>
              </w:rPr>
              <w:t>Cyklosporyna 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 xml:space="preserve">Krew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żylna</w:t>
            </w:r>
          </w:p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EDTA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2 godz.</w:t>
            </w:r>
          </w:p>
        </w:tc>
      </w:tr>
      <w:tr w:rsidR="00DE5C60" w:rsidRPr="00EB76A1" w:rsidTr="00AD2DD3">
        <w:trPr>
          <w:trHeight w:val="34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T17.11.1136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Digoksyna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0,8-2,0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T19.20.053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91486A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1486A">
              <w:rPr>
                <w:rFonts w:ascii="Times New Roman" w:hAnsi="Times New Roman" w:cs="Times New Roman"/>
                <w:b/>
                <w:sz w:val="18"/>
                <w:szCs w:val="18"/>
              </w:rPr>
              <w:t>Doksepina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EB76A1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T19.20.053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91486A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1486A">
              <w:rPr>
                <w:rFonts w:ascii="Times New Roman" w:hAnsi="Times New Roman" w:cs="Times New Roman"/>
                <w:b/>
                <w:sz w:val="18"/>
                <w:szCs w:val="18"/>
              </w:rPr>
              <w:t>Doksepina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EB76A1" w:rsidTr="00AD2DD3">
        <w:trPr>
          <w:trHeight w:val="520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T25.11.1136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Fenobarbital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15-40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63006" w:rsidTr="00AD2DD3">
        <w:trPr>
          <w:trHeight w:val="572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&gt; 40 mg/l (stężenie</w:t>
            </w:r>
          </w:p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E5C60" w:rsidRPr="00EB76A1" w:rsidTr="00AD2DD3">
        <w:trPr>
          <w:trHeight w:val="539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T27.11.1136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Fenytoina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10-20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EB76A1" w:rsidTr="00AD2DD3">
        <w:trPr>
          <w:trHeight w:val="418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&gt; 25 mg/l stężenie </w:t>
            </w:r>
          </w:p>
          <w:p w:rsidR="00DE5C60" w:rsidRPr="00EB76A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toksyczne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E5C60" w:rsidRPr="00EB76A1" w:rsidTr="00AD2DD3">
        <w:trPr>
          <w:trHeight w:val="559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T33.11.1136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Karbamazepina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4-12 mg/l (stężenie </w:t>
            </w:r>
          </w:p>
          <w:p w:rsidR="00DE5C60" w:rsidRPr="00EB76A1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EB76A1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B76A1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63006" w:rsidTr="00AD2DD3">
        <w:trPr>
          <w:trHeight w:val="549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&gt; 12 mg/l (stężenie </w:t>
            </w:r>
          </w:p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T54.1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7855B8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855B8">
              <w:rPr>
                <w:rFonts w:ascii="Times New Roman" w:hAnsi="Times New Roman" w:cs="Times New Roman"/>
                <w:b/>
                <w:sz w:val="18"/>
                <w:szCs w:val="18"/>
              </w:rPr>
              <w:t>Sirolimus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04690C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sz w:val="18"/>
                <w:szCs w:val="18"/>
              </w:rPr>
              <w:t>T35.20.053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b/>
                <w:sz w:val="18"/>
                <w:szCs w:val="18"/>
              </w:rPr>
              <w:t>Klomipramina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sz w:val="18"/>
                <w:szCs w:val="18"/>
              </w:rPr>
              <w:t>T35.20.056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b/>
                <w:sz w:val="18"/>
                <w:szCs w:val="18"/>
              </w:rPr>
              <w:t>Klomipramina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04690C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4690C">
              <w:rPr>
                <w:rFonts w:ascii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DE5C60" w:rsidRPr="00FD19B9" w:rsidTr="00AD2DD3">
        <w:trPr>
          <w:trHeight w:val="255"/>
        </w:trPr>
        <w:tc>
          <w:tcPr>
            <w:tcW w:w="1575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T55.11.1136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Teofilina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5-15 mg/l (stężenie</w:t>
            </w:r>
          </w:p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7855B8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&gt;30 mg/l (stężenie </w:t>
            </w:r>
          </w:p>
          <w:p w:rsidR="00DE5C60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DE5C60" w:rsidRPr="00B63006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T56.1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7855B8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855B8">
              <w:rPr>
                <w:rFonts w:ascii="Times New Roman" w:hAnsi="Times New Roman" w:cs="Times New Roman"/>
                <w:b/>
                <w:sz w:val="18"/>
                <w:szCs w:val="18"/>
              </w:rPr>
              <w:t>Tacrolimus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2 godz.</w:t>
            </w:r>
          </w:p>
        </w:tc>
      </w:tr>
      <w:tr w:rsidR="00DE5C60" w:rsidRPr="00FD19B9" w:rsidTr="00AD2DD3">
        <w:trPr>
          <w:trHeight w:val="255"/>
        </w:trPr>
        <w:tc>
          <w:tcPr>
            <w:tcW w:w="1575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T59.11.1136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Kwas walproinowy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50-100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DE5C60" w:rsidRPr="00FD19B9" w:rsidTr="00AD2DD3">
        <w:trPr>
          <w:trHeight w:val="255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&gt;150 mg/l (stężenie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DE5C60" w:rsidRPr="00FD19B9" w:rsidTr="00AD2DD3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T60.123.1132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Kwas mykofenolowy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sz w:val="18"/>
                <w:szCs w:val="18"/>
              </w:rPr>
              <w:t>Osocze EDTA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DE5C60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C60" w:rsidRPr="00FD19B9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D19B9">
              <w:rPr>
                <w:rFonts w:ascii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</w:tbl>
    <w:p w:rsidR="00DE5C60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sz w:val="18"/>
          <w:szCs w:val="18"/>
        </w:rPr>
      </w:pP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bCs/>
          <w:color w:val="000000"/>
          <w:sz w:val="18"/>
          <w:szCs w:val="18"/>
          <w:u w:val="single"/>
        </w:rPr>
      </w:pPr>
      <w:r w:rsidRPr="00B63006">
        <w:rPr>
          <w:b/>
          <w:bCs/>
          <w:color w:val="000000"/>
          <w:sz w:val="18"/>
          <w:szCs w:val="18"/>
          <w:u w:val="single"/>
        </w:rPr>
        <w:t>Nazwy metod: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AAS - spektrofotometria absorpcji atomowej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CMIA – metoda immunochemiczna z użyciem mikrocząsteczek i znacznika chemiluminescencyjnego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ELISA - enzymatyczna metoda immunosorpcyjna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EMIT - enzymatyczna metoda immunologiczna</w:t>
      </w:r>
    </w:p>
    <w:p w:rsidR="00DE5C60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GC-FID - chromatografia gazowa z detekcją płomieniowo-jonizacyjną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GC-MS - </w:t>
      </w:r>
      <w:r w:rsidRPr="00B63006">
        <w:rPr>
          <w:b/>
          <w:color w:val="000000"/>
          <w:sz w:val="18"/>
          <w:szCs w:val="18"/>
        </w:rPr>
        <w:t>chromatografia gazowa z detekcją</w:t>
      </w:r>
      <w:r>
        <w:rPr>
          <w:b/>
          <w:color w:val="000000"/>
          <w:sz w:val="18"/>
          <w:szCs w:val="18"/>
        </w:rPr>
        <w:t xml:space="preserve"> masową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HPLC-DAD - wysokosprawna chromatografia cieczowa z detekcją diodową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HPLC-Fl - wysokosprawna chromatografia cieczowa z detekcją fluorescencyjną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HPLC-UV - wysokosprawna chromatografia cieczowa z detekcją UV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Immunochromatografia - szybki test kasetowy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Spektrofotometryczna VIS - metoda spektrofotometryczna w zakresie światła widzialnego</w:t>
      </w:r>
    </w:p>
    <w:p w:rsidR="00DE5C60" w:rsidRPr="00B63006" w:rsidRDefault="00DE5C60" w:rsidP="00DE5C60">
      <w:pPr>
        <w:pStyle w:val="Stopka"/>
        <w:tabs>
          <w:tab w:val="clear" w:pos="4536"/>
          <w:tab w:val="clear" w:pos="9072"/>
        </w:tabs>
        <w:suppressAutoHyphens/>
        <w:rPr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TLC - chromatografia cienkowarstwowa</w:t>
      </w:r>
    </w:p>
    <w:p w:rsidR="00DE5C60" w:rsidRDefault="00DE5C60" w:rsidP="00DE5C60">
      <w:pPr>
        <w:pStyle w:val="Tekstkomentarza1"/>
        <w:rPr>
          <w:b/>
          <w:bCs/>
          <w:sz w:val="18"/>
          <w:szCs w:val="18"/>
        </w:rPr>
        <w:sectPr w:rsidR="00DE5C60" w:rsidSect="00F11ACA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DE5C60" w:rsidRPr="00D61182" w:rsidRDefault="00DE5C60" w:rsidP="00DE5C60">
      <w:pPr>
        <w:pStyle w:val="Tekstkomentarza1"/>
        <w:rPr>
          <w:sz w:val="24"/>
          <w:szCs w:val="24"/>
        </w:rPr>
      </w:pPr>
      <w:r w:rsidRPr="00D61182">
        <w:rPr>
          <w:b/>
          <w:bCs/>
          <w:sz w:val="24"/>
          <w:szCs w:val="24"/>
        </w:rPr>
        <w:lastRenderedPageBreak/>
        <w:t xml:space="preserve">Monitorowanie stężenia leków </w:t>
      </w:r>
      <w:r w:rsidRPr="00D61182">
        <w:rPr>
          <w:sz w:val="24"/>
          <w:szCs w:val="24"/>
        </w:rPr>
        <w:br/>
      </w:r>
    </w:p>
    <w:p w:rsidR="00DE5C60" w:rsidRPr="009A58EF" w:rsidRDefault="00DE5C60" w:rsidP="00DE5C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A58EF">
        <w:rPr>
          <w:rFonts w:ascii="Times New Roman" w:hAnsi="Times New Roman" w:cs="Times New Roman"/>
          <w:b/>
          <w:sz w:val="24"/>
          <w:szCs w:val="24"/>
        </w:rPr>
        <w:t>tel. 012-424-87-71, 424-83-82</w:t>
      </w:r>
    </w:p>
    <w:p w:rsidR="00DE5C60" w:rsidRPr="00D61182" w:rsidRDefault="00DE5C60" w:rsidP="00DE5C6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E5C60" w:rsidRPr="00D61182" w:rsidRDefault="00DE5C60" w:rsidP="00DE5C60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D61182">
        <w:rPr>
          <w:rFonts w:ascii="Times New Roman" w:hAnsi="Times New Roman" w:cs="Times New Roman"/>
          <w:color w:val="000000"/>
          <w:sz w:val="24"/>
          <w:szCs w:val="24"/>
        </w:rPr>
        <w:t>Monitorowanie stężenia leku rozpoczyna się po upływie minimum pięciu biologicznych okresów półtrwania leku (t 1/2).</w:t>
      </w:r>
    </w:p>
    <w:p w:rsidR="00DE5C60" w:rsidRPr="00D61182" w:rsidRDefault="00DE5C60" w:rsidP="00DE5C6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1182">
        <w:rPr>
          <w:rFonts w:ascii="Times New Roman" w:hAnsi="Times New Roman" w:cs="Times New Roman"/>
          <w:color w:val="000000"/>
          <w:sz w:val="24"/>
          <w:szCs w:val="24"/>
        </w:rPr>
        <w:t xml:space="preserve">Krew należy pobrać przed </w:t>
      </w:r>
      <w:r w:rsidRPr="00D61182">
        <w:rPr>
          <w:rFonts w:ascii="Times New Roman" w:hAnsi="Times New Roman" w:cs="Times New Roman"/>
          <w:sz w:val="24"/>
          <w:szCs w:val="24"/>
        </w:rPr>
        <w:t>podaniem kolejnej dawki leku</w:t>
      </w:r>
      <w:r w:rsidRPr="00D61182">
        <w:rPr>
          <w:rFonts w:ascii="Times New Roman" w:hAnsi="Times New Roman" w:cs="Times New Roman"/>
          <w:color w:val="000000"/>
          <w:sz w:val="24"/>
          <w:szCs w:val="24"/>
        </w:rPr>
        <w:t xml:space="preserve"> (stę</w:t>
      </w:r>
      <w:r>
        <w:rPr>
          <w:rFonts w:ascii="Times New Roman" w:hAnsi="Times New Roman" w:cs="Times New Roman"/>
          <w:color w:val="000000"/>
          <w:sz w:val="24"/>
          <w:szCs w:val="24"/>
        </w:rPr>
        <w:t>ż</w:t>
      </w:r>
      <w:r w:rsidRPr="00D61182">
        <w:rPr>
          <w:rFonts w:ascii="Times New Roman" w:hAnsi="Times New Roman" w:cs="Times New Roman"/>
          <w:color w:val="000000"/>
          <w:sz w:val="24"/>
          <w:szCs w:val="24"/>
        </w:rPr>
        <w:t>enie minimalne) lub po czasie t</w:t>
      </w:r>
      <w:r w:rsidRPr="00D61182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max</w:t>
      </w:r>
      <w:r w:rsidRPr="00D61182">
        <w:rPr>
          <w:rFonts w:ascii="Times New Roman" w:hAnsi="Times New Roman" w:cs="Times New Roman"/>
          <w:color w:val="000000"/>
          <w:sz w:val="24"/>
          <w:szCs w:val="24"/>
        </w:rPr>
        <w:t xml:space="preserve"> (stężenie maksymalne). </w:t>
      </w:r>
    </w:p>
    <w:p w:rsidR="00DE5C60" w:rsidRPr="00D61182" w:rsidRDefault="00DE5C60" w:rsidP="00DE5C60">
      <w:pPr>
        <w:pStyle w:val="Tekstkomentarza1"/>
        <w:rPr>
          <w:sz w:val="24"/>
          <w:szCs w:val="24"/>
        </w:rPr>
      </w:pPr>
      <w:r>
        <w:rPr>
          <w:sz w:val="24"/>
          <w:szCs w:val="24"/>
        </w:rPr>
        <w:t>D</w:t>
      </w:r>
      <w:r w:rsidRPr="00D61182">
        <w:rPr>
          <w:sz w:val="24"/>
          <w:szCs w:val="24"/>
        </w:rPr>
        <w:t xml:space="preserve">la oznaczenia stężenia maksymalnego antybiotyków aminoglikozydowych krew należy pobrać 30 min. po zakończeniu dożylnego podawania leku </w:t>
      </w:r>
      <w:r>
        <w:rPr>
          <w:sz w:val="24"/>
          <w:szCs w:val="24"/>
        </w:rPr>
        <w:br/>
      </w:r>
      <w:r w:rsidRPr="00D61182">
        <w:rPr>
          <w:sz w:val="24"/>
          <w:szCs w:val="24"/>
        </w:rPr>
        <w:t>albo 60 min. po podaniu domięśniowym.</w:t>
      </w:r>
    </w:p>
    <w:p w:rsidR="00DE5C60" w:rsidRPr="00B63006" w:rsidRDefault="00DE5C60" w:rsidP="00DE5C60">
      <w:pPr>
        <w:pStyle w:val="Tekstkomentarza1"/>
        <w:rPr>
          <w:sz w:val="18"/>
          <w:szCs w:val="18"/>
        </w:rPr>
      </w:pPr>
    </w:p>
    <w:tbl>
      <w:tblPr>
        <w:tblW w:w="14674" w:type="dxa"/>
        <w:tblInd w:w="35" w:type="dxa"/>
        <w:tblLayout w:type="fixed"/>
        <w:tblLook w:val="0000" w:firstRow="0" w:lastRow="0" w:firstColumn="0" w:lastColumn="0" w:noHBand="0" w:noVBand="0"/>
      </w:tblPr>
      <w:tblGrid>
        <w:gridCol w:w="1838"/>
        <w:gridCol w:w="2160"/>
        <w:gridCol w:w="1178"/>
        <w:gridCol w:w="2268"/>
        <w:gridCol w:w="2268"/>
        <w:gridCol w:w="1560"/>
        <w:gridCol w:w="1701"/>
        <w:gridCol w:w="1701"/>
      </w:tblGrid>
      <w:tr w:rsidR="00DE5C60" w:rsidRPr="00AC1D5E" w:rsidTr="00AD2DD3">
        <w:trPr>
          <w:trHeight w:val="386"/>
        </w:trPr>
        <w:tc>
          <w:tcPr>
            <w:tcW w:w="18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DE5C60" w:rsidRPr="00AC1D5E" w:rsidRDefault="00DE5C60" w:rsidP="00AD2DD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Kod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5C60" w:rsidRPr="00AC1D5E" w:rsidRDefault="00DE5C60" w:rsidP="00AD2DD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Oznaczenie</w:t>
            </w:r>
          </w:p>
        </w:tc>
        <w:tc>
          <w:tcPr>
            <w:tcW w:w="11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5C60" w:rsidRPr="00AC1D5E" w:rsidRDefault="00DE5C60" w:rsidP="00AD2DD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Metoda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5C60" w:rsidRPr="00AC1D5E" w:rsidRDefault="00DE5C60" w:rsidP="00AD2DD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Materiał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DE5C60" w:rsidRPr="00AC1D5E" w:rsidRDefault="00DE5C60" w:rsidP="00AD2DD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Wartości referencyjne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AC1D5E" w:rsidRDefault="00DE5C60" w:rsidP="00AD2DD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Poziom błędów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AC1D5E" w:rsidRDefault="00DE5C60" w:rsidP="00AD2DD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Tryb zlecenia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AC1D5E" w:rsidRDefault="00DE5C60" w:rsidP="00AD2DD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Czas oczekiwania na wynik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8E0AB4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(maksymalny)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T11.1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Cyklosporyna 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*  ng/ml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557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T17.11.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1136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Digoksyna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 xml:space="preserve">Surowica, </w:t>
            </w:r>
          </w:p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0.8 – 2.0 ng/ml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T25.11.113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Fenobarbital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 xml:space="preserve">Surowica, </w:t>
            </w:r>
          </w:p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15 – 40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T27.11.113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Fenytonina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 xml:space="preserve">Surowica, </w:t>
            </w:r>
          </w:p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10 – 20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T33.11.113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Karbamazepina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Surowica,</w:t>
            </w:r>
          </w:p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4 – 12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T54.1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Sirolimus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*  ng/ml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T55.11.113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Teofilina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Surowica,</w:t>
            </w:r>
          </w:p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10 – 20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T56.1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Tacrolimus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*  ng/ml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T59.11.113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Kwas walproinowy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Surowica,</w:t>
            </w:r>
          </w:p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50 – 100 μg/ml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T60.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123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Kwas mykofenolowy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 EDTA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*  mg/l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797D83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T61.11.113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Wankomycyna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Surowica,</w:t>
            </w:r>
          </w:p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c. min. 5 – 10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c. max. 20 – 40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P4950.11.1132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Lamotrygina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3-15 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DE5C60" w:rsidRPr="00B63006" w:rsidTr="00AD2DD3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P4951.11.1132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Levetiracetam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E5C60" w:rsidRPr="00B63006" w:rsidRDefault="00DE5C60" w:rsidP="00AD2DD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10-37 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/ml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E5C60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E5C60" w:rsidRPr="00B63006" w:rsidRDefault="00DE5C60" w:rsidP="00AD2DD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</w:tbl>
    <w:p w:rsidR="00DE5C60" w:rsidRDefault="00DE5C60" w:rsidP="00DE5C60">
      <w:pPr>
        <w:pStyle w:val="Stopka"/>
        <w:tabs>
          <w:tab w:val="clear" w:pos="4536"/>
          <w:tab w:val="clear" w:pos="9072"/>
        </w:tabs>
        <w:suppressAutoHyphens/>
      </w:pPr>
      <w:r w:rsidRPr="00B63006">
        <w:rPr>
          <w:b/>
          <w:sz w:val="18"/>
          <w:szCs w:val="18"/>
        </w:rPr>
        <w:t>* wartości zmienne, w zależności od rodzaju przeszczepu i czasu jaki upłynął po przeszczepi</w:t>
      </w:r>
      <w:r>
        <w:rPr>
          <w:b/>
          <w:sz w:val="18"/>
          <w:szCs w:val="18"/>
        </w:rPr>
        <w:t>e</w:t>
      </w:r>
    </w:p>
    <w:p w:rsidR="00DE5C60" w:rsidRDefault="00DE5C60" w:rsidP="003F158C">
      <w:pPr>
        <w:pStyle w:val="Tekstkomentarza1"/>
        <w:rPr>
          <w:sz w:val="24"/>
          <w:szCs w:val="24"/>
        </w:rPr>
        <w:sectPr w:rsidR="00DE5C60" w:rsidSect="00F11ACA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F11ACA" w:rsidRDefault="00F11ACA" w:rsidP="0064538A">
      <w:pPr>
        <w:pStyle w:val="Stopka"/>
        <w:tabs>
          <w:tab w:val="clear" w:pos="4536"/>
          <w:tab w:val="clear" w:pos="9072"/>
        </w:tabs>
        <w:suppressAutoHyphens/>
      </w:pPr>
    </w:p>
    <w:sectPr w:rsidR="00F11ACA" w:rsidSect="00F11AC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06AA" w:rsidRDefault="002406AA" w:rsidP="00C04228">
      <w:pPr>
        <w:spacing w:after="0" w:line="240" w:lineRule="auto"/>
      </w:pPr>
      <w:r>
        <w:separator/>
      </w:r>
    </w:p>
  </w:endnote>
  <w:endnote w:type="continuationSeparator" w:id="0">
    <w:p w:rsidR="002406AA" w:rsidRDefault="002406AA" w:rsidP="00C04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zcionka tekstu podstawowego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06AA" w:rsidRDefault="002406AA" w:rsidP="00C04228">
      <w:pPr>
        <w:spacing w:after="0" w:line="240" w:lineRule="auto"/>
      </w:pPr>
      <w:r>
        <w:separator/>
      </w:r>
    </w:p>
  </w:footnote>
  <w:footnote w:type="continuationSeparator" w:id="0">
    <w:p w:rsidR="002406AA" w:rsidRDefault="002406AA" w:rsidP="00C042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F11ACA"/>
    <w:rsid w:val="000078AB"/>
    <w:rsid w:val="000E1840"/>
    <w:rsid w:val="001319A6"/>
    <w:rsid w:val="001C3A65"/>
    <w:rsid w:val="002077EC"/>
    <w:rsid w:val="00210420"/>
    <w:rsid w:val="002406AA"/>
    <w:rsid w:val="002536A4"/>
    <w:rsid w:val="002E2847"/>
    <w:rsid w:val="00326A87"/>
    <w:rsid w:val="003411CB"/>
    <w:rsid w:val="00375D34"/>
    <w:rsid w:val="003A683E"/>
    <w:rsid w:val="003B159D"/>
    <w:rsid w:val="003C09D1"/>
    <w:rsid w:val="003F158C"/>
    <w:rsid w:val="00407383"/>
    <w:rsid w:val="004A57D0"/>
    <w:rsid w:val="004B1760"/>
    <w:rsid w:val="004D7653"/>
    <w:rsid w:val="00535404"/>
    <w:rsid w:val="005442FA"/>
    <w:rsid w:val="0062228C"/>
    <w:rsid w:val="0064538A"/>
    <w:rsid w:val="0064735C"/>
    <w:rsid w:val="006A3D9F"/>
    <w:rsid w:val="00724047"/>
    <w:rsid w:val="007679E3"/>
    <w:rsid w:val="007855B8"/>
    <w:rsid w:val="00795CB9"/>
    <w:rsid w:val="00797D83"/>
    <w:rsid w:val="00825519"/>
    <w:rsid w:val="0085040E"/>
    <w:rsid w:val="00857517"/>
    <w:rsid w:val="00870CA9"/>
    <w:rsid w:val="008E0AB4"/>
    <w:rsid w:val="008F2264"/>
    <w:rsid w:val="00962FD9"/>
    <w:rsid w:val="00991D39"/>
    <w:rsid w:val="00992F3E"/>
    <w:rsid w:val="00997EAD"/>
    <w:rsid w:val="009C1810"/>
    <w:rsid w:val="00AE6861"/>
    <w:rsid w:val="00AF024C"/>
    <w:rsid w:val="00AF7F27"/>
    <w:rsid w:val="00B11A7F"/>
    <w:rsid w:val="00B157D4"/>
    <w:rsid w:val="00B256C0"/>
    <w:rsid w:val="00B81FE6"/>
    <w:rsid w:val="00B92020"/>
    <w:rsid w:val="00BF58F0"/>
    <w:rsid w:val="00C04228"/>
    <w:rsid w:val="00C37886"/>
    <w:rsid w:val="00C50A81"/>
    <w:rsid w:val="00C52198"/>
    <w:rsid w:val="00CA34AB"/>
    <w:rsid w:val="00D1721C"/>
    <w:rsid w:val="00D2208B"/>
    <w:rsid w:val="00D51799"/>
    <w:rsid w:val="00D60120"/>
    <w:rsid w:val="00D61182"/>
    <w:rsid w:val="00D74678"/>
    <w:rsid w:val="00DA2EBF"/>
    <w:rsid w:val="00DB06C9"/>
    <w:rsid w:val="00DE21C3"/>
    <w:rsid w:val="00DE5C60"/>
    <w:rsid w:val="00DF3A5D"/>
    <w:rsid w:val="00E26AF1"/>
    <w:rsid w:val="00E90009"/>
    <w:rsid w:val="00EB25D7"/>
    <w:rsid w:val="00ED1649"/>
    <w:rsid w:val="00EE79AC"/>
    <w:rsid w:val="00F11ACA"/>
    <w:rsid w:val="00F43C8C"/>
    <w:rsid w:val="00F76DFC"/>
    <w:rsid w:val="00F8675F"/>
    <w:rsid w:val="00FC7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84B098"/>
  <w15:docId w15:val="{A4B37CCB-1C78-448F-A1D3-14547348F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79A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nhideWhenUsed/>
    <w:rsid w:val="00F11A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rsid w:val="00F11AC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kstkomentarza1">
    <w:name w:val="Tekst komentarza1"/>
    <w:basedOn w:val="Normalny"/>
    <w:rsid w:val="00F11A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semiHidden/>
    <w:unhideWhenUsed/>
    <w:rsid w:val="00992F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992F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27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934BCA-5643-40C9-AEF9-D89513EA0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9</Pages>
  <Words>2025</Words>
  <Characters>12150</Characters>
  <Application>Microsoft Office Word</Application>
  <DocSecurity>0</DocSecurity>
  <Lines>101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Monika Udycz</cp:lastModifiedBy>
  <cp:revision>15</cp:revision>
  <cp:lastPrinted>2016-11-20T18:55:00Z</cp:lastPrinted>
  <dcterms:created xsi:type="dcterms:W3CDTF">2017-10-30T09:14:00Z</dcterms:created>
  <dcterms:modified xsi:type="dcterms:W3CDTF">2021-02-01T08:41:00Z</dcterms:modified>
</cp:coreProperties>
</file>