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03ED" w:rsidRPr="005944A8" w:rsidRDefault="0024505A" w:rsidP="0024505A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944A8">
        <w:rPr>
          <w:rFonts w:ascii="Times New Roman" w:hAnsi="Times New Roman" w:cs="Times New Roman"/>
          <w:b/>
          <w:sz w:val="32"/>
          <w:szCs w:val="32"/>
        </w:rPr>
        <w:t>PRACOWNIA ANALITYKI LEKARSKIEJ</w:t>
      </w:r>
    </w:p>
    <w:p w:rsidR="0024505A" w:rsidRDefault="0024505A" w:rsidP="0024505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Ul. Kopernika 15b  - </w:t>
      </w:r>
      <w:r w:rsidR="00E859E1">
        <w:rPr>
          <w:rFonts w:ascii="Times New Roman" w:hAnsi="Times New Roman" w:cs="Times New Roman"/>
          <w:b/>
          <w:sz w:val="28"/>
          <w:szCs w:val="28"/>
        </w:rPr>
        <w:t>t</w:t>
      </w:r>
      <w:r>
        <w:rPr>
          <w:rFonts w:ascii="Times New Roman" w:hAnsi="Times New Roman" w:cs="Times New Roman"/>
          <w:b/>
          <w:sz w:val="28"/>
          <w:szCs w:val="28"/>
        </w:rPr>
        <w:t>el. 12 424 83 83</w:t>
      </w:r>
    </w:p>
    <w:p w:rsidR="0024505A" w:rsidRPr="0024505A" w:rsidRDefault="0024505A" w:rsidP="0024505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Ul. Jakubowskiego 2  - tel. 12 400 </w:t>
      </w:r>
      <w:r w:rsidR="00F862C6">
        <w:rPr>
          <w:rFonts w:ascii="Times New Roman" w:hAnsi="Times New Roman" w:cs="Times New Roman"/>
          <w:b/>
          <w:sz w:val="28"/>
          <w:szCs w:val="28"/>
        </w:rPr>
        <w:t>36-16, 12 400 36 17, 12 400 36 18</w:t>
      </w:r>
    </w:p>
    <w:p w:rsidR="0024505A" w:rsidRPr="005944A8" w:rsidRDefault="0024505A" w:rsidP="0024505A">
      <w:pPr>
        <w:jc w:val="center"/>
        <w:rPr>
          <w:rFonts w:ascii="Times New Roman" w:hAnsi="Times New Roman" w:cs="Times New Roman"/>
          <w:b/>
          <w:color w:val="00B0F0"/>
          <w:sz w:val="28"/>
          <w:szCs w:val="28"/>
        </w:rPr>
      </w:pPr>
      <w:r w:rsidRPr="005944A8">
        <w:rPr>
          <w:rFonts w:ascii="Times New Roman" w:hAnsi="Times New Roman" w:cs="Times New Roman"/>
          <w:b/>
          <w:color w:val="00B0F0"/>
          <w:sz w:val="28"/>
          <w:szCs w:val="28"/>
        </w:rPr>
        <w:t>Bad</w:t>
      </w:r>
      <w:bookmarkStart w:id="0" w:name="_GoBack"/>
      <w:bookmarkEnd w:id="0"/>
      <w:r w:rsidRPr="005944A8">
        <w:rPr>
          <w:rFonts w:ascii="Times New Roman" w:hAnsi="Times New Roman" w:cs="Times New Roman"/>
          <w:b/>
          <w:color w:val="00B0F0"/>
          <w:sz w:val="28"/>
          <w:szCs w:val="28"/>
        </w:rPr>
        <w:t>ania wykonywane w trybie RUTYNA</w:t>
      </w:r>
    </w:p>
    <w:p w:rsidR="00385FE6" w:rsidRDefault="00385FE6"/>
    <w:tbl>
      <w:tblPr>
        <w:tblW w:w="150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67"/>
        <w:gridCol w:w="1358"/>
        <w:gridCol w:w="2269"/>
        <w:gridCol w:w="1985"/>
        <w:gridCol w:w="1559"/>
        <w:gridCol w:w="1417"/>
        <w:gridCol w:w="1560"/>
        <w:gridCol w:w="1246"/>
        <w:gridCol w:w="1305"/>
        <w:gridCol w:w="1134"/>
      </w:tblGrid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Wartości</w:t>
            </w:r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Postępowanie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Postępowanie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z materiałami pobranymi do badania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laboratorium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Poziom błędu</w:t>
            </w:r>
          </w:p>
        </w:tc>
      </w:tr>
      <w:tr w:rsidR="00385FE6" w:rsidRPr="00385FE6" w:rsidTr="00DD03ED">
        <w:trPr>
          <w:jc w:val="center"/>
        </w:trPr>
        <w:tc>
          <w:tcPr>
            <w:tcW w:w="138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Badania morfologii krwi obwodowej</w:t>
            </w:r>
            <w:r w:rsidRPr="00385FE6">
              <w:rPr>
                <w:rFonts w:ascii="Arial" w:eastAsia="Times New Roman" w:hAnsi="Arial" w:cs="Arial"/>
                <w:b/>
                <w:i/>
                <w:color w:val="FF0000"/>
                <w:sz w:val="32"/>
                <w:szCs w:val="32"/>
                <w:lang w:eastAsia="pl-PL"/>
              </w:rPr>
              <w:t>*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Leukocyty*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F327FB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fluorescencyjna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</w:t>
            </w:r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tometria</w:t>
            </w:r>
            <w:proofErr w:type="spellEnd"/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przepływowa </w:t>
            </w:r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użyciem lasera półprzewodnikowego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4.5 – 10.0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konieczne, wskazane na czczo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żylną wymieszać z antykoagulantem </w:t>
            </w: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(EDTA-2K; EDTA-3K; EDTA-2Na)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Próbkę poddać analizie w ciągu 3 – 4 godzin od pobrania, lub przechowywać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w lodówce (2 - </w:t>
            </w:r>
            <w:smartTag w:uri="urn:schemas-microsoft-com:office:smarttags" w:element="metricconverter">
              <w:smartTagPr>
                <w:attr w:name="ProductID" w:val="8ﾰC"/>
              </w:smartTagPr>
              <w:r w:rsidRPr="00385FE6">
                <w:rPr>
                  <w:rFonts w:ascii="Arial" w:eastAsia="Times New Roman" w:hAnsi="Arial" w:cs="Arial"/>
                  <w:sz w:val="14"/>
                  <w:szCs w:val="14"/>
                  <w:lang w:eastAsia="pl-PL"/>
                </w:rPr>
                <w:t>8°C</w:t>
              </w:r>
            </w:smartTag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) do czasu wykonania analizy (nie mrozić).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Przed przeprowadzeniem analizy próbki ogrzać do temperatury pokojowej, dokładnie wymieszać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 7%</w:t>
            </w:r>
          </w:p>
        </w:tc>
      </w:tr>
      <w:tr w:rsidR="00385FE6" w:rsidRPr="00385FE6" w:rsidTr="00DD03ED">
        <w:trPr>
          <w:trHeight w:val="667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Erytrocyty*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impedancyjna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ogniskowaniem hydrodynamicznym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♀ 4.0 – 5.0 10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vertAlign w:val="superscript"/>
                <w:lang w:eastAsia="pl-PL"/>
              </w:rPr>
              <w:t>6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μl</w:t>
            </w:r>
            <w:proofErr w:type="spellEnd"/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♂ 4.5 – 5.9 10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vertAlign w:val="superscript"/>
                <w:lang w:eastAsia="pl-PL"/>
              </w:rPr>
              <w:t>6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 4%</w:t>
            </w: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Hemoglobina*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SLS-hemoglobina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♀ 12.0 – 16.0 g/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dL</w:t>
            </w:r>
            <w:proofErr w:type="spellEnd"/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♂ 14.0 – 18.0 g/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dL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 4%</w:t>
            </w: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Hematokryt*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kumulacyjnego zliczania impulsów elektrycznych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♀ 37 – 47 %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♂ 40 – 54 %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 7%</w:t>
            </w: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MCV*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80.0 – 96.0 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 7%</w:t>
            </w: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MCH*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27.0 – 31.0 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pg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 7%</w:t>
            </w: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MCHC*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31.0 – 36.0 g/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 7%</w:t>
            </w: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Płytki krwi*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impedancyjna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ogniskowaniem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hydrodymanicznym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140 – 440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 10%</w:t>
            </w: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C56.103.02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C000"/>
                <w:sz w:val="16"/>
                <w:szCs w:val="16"/>
                <w:lang w:eastAsia="pl-PL"/>
              </w:rPr>
              <w:t>Frakcja płytek niedojrzałych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953FD7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fluorescencyjna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</w:t>
            </w:r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tometria</w:t>
            </w:r>
            <w:proofErr w:type="spellEnd"/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0.8 – 6.2 %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MPV*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9.0 – 12.0 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RDW-SD*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35.1 – 46.3 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RDW-CV*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11.6 – 14.4 %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microR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0.5 – 3.0 %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macroR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3.2 – 11.5 %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HypoHe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0.1 – 1.1 %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HyperHe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0.7 – 1.3 %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PDW*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PLT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9.8 – 16.2 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P-LCR*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PLT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19.5 -  43.8 %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PCT*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częstotliwości rozkładu PLT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0.12 – 0.36 %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LYM*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1.0 – 4.5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20 – 45 %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 20%</w:t>
            </w: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MON*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0.1 – 0.8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4 – 10 %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NEU*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CD5828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fluorescencyjna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</w:t>
            </w:r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tometria</w:t>
            </w:r>
            <w:proofErr w:type="spellEnd"/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przepływowa z użyciem lasera półprzewodnikowego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1.8 – 7.7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45 – 70 %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EOS*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9264F9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fluorescencyjna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</w:t>
            </w:r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ometria</w:t>
            </w:r>
            <w:proofErr w:type="spellEnd"/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przepływowa z użyciem lasera półprzewodnikowego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0.04 – 0.45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 – 5 %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BAS*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CD5828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fluorescencyjna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</w:t>
            </w:r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tometria</w:t>
            </w:r>
            <w:proofErr w:type="spellEnd"/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przepływowa z użyciem lasera półprzewodnikowego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0.01 – 0.2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 – 1 %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IG*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CD5828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fluorescencyjna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</w:t>
            </w:r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tometria</w:t>
            </w:r>
            <w:proofErr w:type="spellEnd"/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przepływowa z użyciem lasera półprzewodnikowego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 – 0.09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 – 0,6 %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NRBC*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CD5828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fluorescencyjna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</w:t>
            </w:r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tometria</w:t>
            </w:r>
            <w:proofErr w:type="spellEnd"/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przepływowa z użyciem lasera półprzewodnikowego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 – 0.0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0.0- 0.0/100 WBC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Ret*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0.025 – 0.10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6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5 – 22 ‰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Ret 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Hb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28-35 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pg</w:t>
            </w:r>
            <w:proofErr w:type="spellEnd"/>
          </w:p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IRF*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1.5 – 13.7 %</w:t>
            </w:r>
          </w:p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LFR*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87.8 – 98.6 %</w:t>
            </w:r>
          </w:p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C69.103.02</w:t>
            </w:r>
          </w:p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MFR*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2.4 – 12.5 % </w:t>
            </w:r>
          </w:p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HFR*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0.0 – 2.4 %</w:t>
            </w:r>
          </w:p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</w:tbl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Pr="00F862C6" w:rsidRDefault="00F862C6" w:rsidP="00F862C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F862C6">
        <w:rPr>
          <w:rFonts w:ascii="Times New Roman" w:eastAsia="Times New Roman" w:hAnsi="Times New Roman" w:cs="Times New Roman"/>
          <w:sz w:val="20"/>
          <w:szCs w:val="20"/>
          <w:lang w:eastAsia="ar-SA"/>
        </w:rPr>
        <w:t>*  RDW – współczynnik zmienności rozkładu objętości erytrocytów (wskaźnik anizocytozy).</w:t>
      </w:r>
    </w:p>
    <w:p w:rsidR="00F862C6" w:rsidRPr="00F862C6" w:rsidRDefault="00F862C6" w:rsidP="00F862C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F862C6">
        <w:rPr>
          <w:rFonts w:ascii="Times New Roman" w:eastAsia="Times New Roman" w:hAnsi="Times New Roman" w:cs="Times New Roman"/>
          <w:sz w:val="20"/>
          <w:szCs w:val="20"/>
          <w:lang w:eastAsia="ar-SA"/>
        </w:rPr>
        <w:t>** PDW – współczynnik zmienności rozkładu objętości płytek krwi.</w:t>
      </w: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3"/>
        <w:gridCol w:w="1553"/>
        <w:gridCol w:w="1554"/>
        <w:gridCol w:w="1554"/>
        <w:gridCol w:w="1554"/>
        <w:gridCol w:w="1554"/>
        <w:gridCol w:w="1554"/>
        <w:gridCol w:w="1554"/>
        <w:gridCol w:w="1554"/>
        <w:gridCol w:w="1554"/>
      </w:tblGrid>
      <w:tr w:rsidR="00385FE6" w:rsidRPr="00385FE6" w:rsidTr="00DD03ED"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pobranym materiałem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Calibri" w:eastAsia="Times New Roman" w:hAnsi="Calibri" w:cs="Arial"/>
                <w:b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Arial"/>
                <w:b/>
                <w:sz w:val="18"/>
                <w:szCs w:val="18"/>
                <w:lang w:eastAsia="pl-PL"/>
              </w:rPr>
              <w:t>Poziom błędu</w:t>
            </w:r>
          </w:p>
        </w:tc>
      </w:tr>
      <w:tr w:rsidR="00385FE6" w:rsidRPr="00385FE6" w:rsidTr="00DD03ED">
        <w:tc>
          <w:tcPr>
            <w:tcW w:w="155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i/>
                <w:sz w:val="20"/>
                <w:szCs w:val="20"/>
                <w:lang w:eastAsia="pl-PL"/>
              </w:rPr>
              <w:t xml:space="preserve">OB  </w:t>
            </w:r>
          </w:p>
        </w:tc>
      </w:tr>
      <w:tr w:rsidR="00385FE6" w:rsidRPr="00385FE6" w:rsidTr="00DD03ED"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>C59.102.09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OB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Czytnik automatyczny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Dzieci:</w:t>
            </w:r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0 – 1 mies.</w:t>
            </w:r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0 – 2 mm/h</w:t>
            </w:r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1 – 6 mies.</w:t>
            </w:r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12 – 17 mm/h</w:t>
            </w:r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Dorośli:</w:t>
            </w:r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do 60 lat:</w:t>
            </w:r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&lt; 12 mm/h</w:t>
            </w:r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&lt; 10 mm/h</w:t>
            </w:r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&gt; 60 lat:</w:t>
            </w:r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&lt; 20 mm/h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&lt; 15 mm/h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(4 obj.) pobrana do roztworu 0,109 mol/l cytrynianu trójsodowego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( 1 obj.),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Próbkę poddać analizie w ciągu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2 godzin od pobrania, lub przechowywać </w:t>
            </w: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w lodówce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(2 - </w:t>
            </w:r>
            <w:smartTag w:uri="urn:schemas-microsoft-com:office:smarttags" w:element="metricconverter">
              <w:smartTagPr>
                <w:attr w:name="ProductID" w:val="8ﾰC"/>
              </w:smartTagPr>
              <w:r w:rsidRPr="00385FE6">
                <w:rPr>
                  <w:rFonts w:ascii="Arial" w:eastAsia="Times New Roman" w:hAnsi="Arial" w:cs="Arial"/>
                  <w:sz w:val="14"/>
                  <w:szCs w:val="14"/>
                  <w:lang w:eastAsia="pl-PL"/>
                </w:rPr>
                <w:t>8°C</w:t>
              </w:r>
            </w:smartTag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)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godziny do czasu wykonania analizy (nie mrozić).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Przed przeprowadzeniem analizy próbki ogrzać do temperatury pokojowej, dokładnie wymieszać 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Calibri" w:eastAsia="Times New Roman" w:hAnsi="Calibri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6"/>
                <w:szCs w:val="16"/>
                <w:lang w:eastAsia="pl-PL"/>
              </w:rPr>
              <w:t>Nie dotyczy</w:t>
            </w:r>
          </w:p>
        </w:tc>
      </w:tr>
    </w:tbl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tbl>
      <w:tblPr>
        <w:tblW w:w="152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700"/>
        <w:gridCol w:w="1558"/>
        <w:gridCol w:w="1558"/>
        <w:gridCol w:w="1559"/>
        <w:gridCol w:w="1983"/>
        <w:gridCol w:w="1842"/>
        <w:gridCol w:w="1276"/>
        <w:gridCol w:w="1558"/>
        <w:gridCol w:w="1276"/>
      </w:tblGrid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Przygoto-wanie</w:t>
            </w:r>
            <w:proofErr w:type="spellEnd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pacjenta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pobranym materiałem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Poziom błędu</w:t>
            </w:r>
          </w:p>
        </w:tc>
      </w:tr>
      <w:tr w:rsidR="00385FE6" w:rsidRPr="00385FE6" w:rsidTr="00DD03ED">
        <w:tc>
          <w:tcPr>
            <w:tcW w:w="1399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 xml:space="preserve">Badania </w:t>
            </w:r>
            <w:proofErr w:type="spellStart"/>
            <w:r w:rsidRPr="00385FE6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koagulologiczne</w:t>
            </w:r>
            <w:proofErr w:type="spellEnd"/>
            <w:r w:rsidRPr="00385FE6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G21.122.17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Czas 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protrombinowy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 (PT)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tabs>
                <w:tab w:val="left" w:pos="708"/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Pomiar czasu powstawania skrzepu po aktywacji osocza tromboplastyną i jonami Ca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2+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0.90 – 1.20 INR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10.4 – 13.0 sec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9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( 9 obj.) pobrana do roztworu 0,109 mol/l cytrynianu trójsodowego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( 1 obj.), starannie wymieszana tak aby unikać tworzenia się piany.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6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. od pobrania próbki krwi.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 oddzielone od elementów morfotycznych osocze przechowywać: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- w temp. pokojowej do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6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lastRenderedPageBreak/>
              <w:t>+/-  10%</w:t>
            </w: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G11.122.17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Czas 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kaolinowo-kefalinowy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*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(APTT)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Pomiar czasu powstawania skrzepu po uprzedniej aktywacji jonami Ca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2+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fosfolipidami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26.0 – 36.0 sec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przechowywać: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 w temp. pokojowej do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godz.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15 %</w:t>
            </w: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G53.122.17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Fibrynogen*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(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Fbg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Pomiar czasu powstawania skrzepu po dodaniu nadmiaru trombiny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1.8 – 3.5 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>4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Odwirowane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i oddzielone od elementów morfotycznych osocze przechowywać :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4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+/- 15 %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G03.122.17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Antytrombina III*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Antytrombina jest aktywowana za pomocą trombiny, której nadmiar oznaczany jest kolorymetrycznie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75 – 125 %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- w temp. pokojowej do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1 mies.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+/- 20 %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G25.122.17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Czas 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trombinowy</w:t>
            </w:r>
            <w:proofErr w:type="spellEnd"/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TT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Trombina przekształca fibrynogen w fibrynę. 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Pomiar czasu do wytworzenia się skrzepu fibrynowego.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16.0 – 26.0 sec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+/- 15%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rPr>
          <w:trHeight w:val="859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color w:val="000000"/>
                <w:sz w:val="14"/>
                <w:szCs w:val="14"/>
                <w:lang w:eastAsia="pl-PL"/>
              </w:rPr>
              <w:t>L96.122.</w:t>
            </w:r>
            <w:r w:rsidRPr="00385FE6">
              <w:rPr>
                <w:rFonts w:ascii="Arial" w:eastAsia="Times New Roman" w:hAnsi="Arial" w:cs="Arial"/>
                <w:color w:val="000000"/>
                <w:sz w:val="14"/>
                <w:szCs w:val="14"/>
                <w:lang w:eastAsia="pl-PL"/>
              </w:rPr>
              <w:br/>
              <w:t>191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Aktywność C1 inhibitora esterazy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70 – 120 %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tygodni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 (niezwłocznie)  i zamrozić.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osocze przechowywać: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+/- 20 %</w:t>
            </w:r>
          </w:p>
          <w:p w:rsidR="00385FE6" w:rsidRPr="00385FE6" w:rsidRDefault="00385FE6" w:rsidP="00385FE6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G05.122.17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Białko C*</w:t>
            </w: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>(aktywność)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Białko C podlega aktywacji pod wpływem swoistego aktywatora z jadu żmii. 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Białko C bada się testem kinetycznym mierząc wzrost absorbancji przy dł. fali 450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nm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Noworodki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40 % normy dorosłych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70 – 140 %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temp. pokojowej do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4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+/- 20 %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G33.122.17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Czynnik VIII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(aktywność)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koagulometryczna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♀/♂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70 – 150 %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 1 godziny od chwili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Oznaczenie wykonać  w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3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temp. pokojowej do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2 tygodnie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+/- 20 %</w:t>
            </w:r>
          </w:p>
          <w:p w:rsidR="00385FE6" w:rsidRPr="00385FE6" w:rsidRDefault="00385FE6" w:rsidP="00385FE6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G02.122.17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Aktywność </w:t>
            </w:r>
            <w:r w:rsidRPr="00385FE6">
              <w:rPr>
                <w:rFonts w:ascii="Arial" w:eastAsia="Times New Roman" w:hAnsi="Arial" w:cs="Arial"/>
                <w:color w:val="FF0000"/>
                <w:sz w:val="16"/>
                <w:szCs w:val="16"/>
                <w:lang w:eastAsia="pl-PL"/>
              </w:rPr>
              <w:t>anty-</w:t>
            </w:r>
            <w:proofErr w:type="spellStart"/>
            <w:r w:rsidRPr="00385FE6">
              <w:rPr>
                <w:rFonts w:ascii="Arial" w:eastAsia="Times New Roman" w:hAnsi="Arial" w:cs="Arial"/>
                <w:color w:val="FF0000"/>
                <w:sz w:val="16"/>
                <w:szCs w:val="16"/>
                <w:lang w:eastAsia="pl-PL"/>
              </w:rPr>
              <w:t>Xa</w:t>
            </w:r>
            <w:proofErr w:type="spellEnd"/>
            <w:r w:rsidRPr="00385FE6">
              <w:rPr>
                <w:rFonts w:ascii="Arial" w:eastAsia="Times New Roman" w:hAnsi="Arial" w:cs="Arial"/>
                <w:color w:val="FF0000"/>
                <w:sz w:val="16"/>
                <w:szCs w:val="16"/>
                <w:lang w:eastAsia="pl-PL"/>
              </w:rPr>
              <w:t xml:space="preserve"> heparyny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♀/♂ </w:t>
            </w:r>
          </w:p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1.0 – 1.3 IU/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mL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Heparyna Drobnocząsteczkowa</w:t>
            </w:r>
          </w:p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-dawkowanie 1xdziennie</w:t>
            </w:r>
          </w:p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0.6 – 1.0  IU/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mL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Heparyna</w:t>
            </w:r>
          </w:p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Drobnocząsteczkowa</w:t>
            </w:r>
          </w:p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-dawkowanie 2xdziennie</w:t>
            </w:r>
          </w:p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0.3 – 0.7  IU/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mL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Heparyna niefrakcjonowana</w:t>
            </w:r>
          </w:p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+/- 20 %</w:t>
            </w:r>
          </w:p>
          <w:p w:rsidR="00385FE6" w:rsidRPr="00385FE6" w:rsidRDefault="00385FE6" w:rsidP="00385FE6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G49.122.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br/>
              <w:t>1113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D-dimer*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- test ilościowy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Udoskonalona 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turbidymetrii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lateksowej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&lt;0.55 mg/l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 oddzielone od elementów morfotycznych osocze przechowywać: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12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+/- 20 %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G77.122.</w:t>
            </w: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br/>
              <w:t>012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Produkty degradacji fibrynogenu (FDP) *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- metoda półilościowa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Immunochemiczna </w:t>
            </w:r>
          </w:p>
          <w:p w:rsidR="00385FE6" w:rsidRPr="00385FE6" w:rsidRDefault="00385FE6" w:rsidP="00385FE6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z przeciwciałami monoklonalnymi. </w:t>
            </w:r>
          </w:p>
          <w:p w:rsidR="00385FE6" w:rsidRPr="00385FE6" w:rsidRDefault="00385FE6" w:rsidP="00385FE6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Aglutynacja w obecności FDP</w:t>
            </w:r>
          </w:p>
          <w:p w:rsidR="00385FE6" w:rsidRPr="00385FE6" w:rsidRDefault="00385FE6" w:rsidP="00385FE6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manualna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5.0 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sym w:font="Symbol" w:char="F06D"/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Odwirowane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i oddzielone od elementów morfotycznych osocze przechowywać: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temp. pokojowej do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godzin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miesiąca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  <w:tr w:rsidR="0078308E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F86F67" w:rsidRDefault="0078308E" w:rsidP="0078308E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lastRenderedPageBreak/>
              <w:t>G24.122.17.1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Dabigatran</w:t>
            </w:r>
            <w:proofErr w:type="spellEnd"/>
          </w:p>
          <w:p w:rsidR="0078308E" w:rsidRPr="00385FE6" w:rsidRDefault="0078308E" w:rsidP="0078308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Bezpośredni inhibitor trombiny (stężenie)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78308E" w:rsidRPr="00385FE6" w:rsidRDefault="0078308E" w:rsidP="0078308E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(w zależności od dawki i czasu podania- opis) [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/ml</w:t>
            </w:r>
            <w:r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78308E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F86F67" w:rsidRDefault="0078308E" w:rsidP="0078308E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G02.122.17.3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Rywaroksaban</w:t>
            </w:r>
            <w:proofErr w:type="spellEnd"/>
          </w:p>
          <w:p w:rsidR="0078308E" w:rsidRPr="00385FE6" w:rsidRDefault="0078308E" w:rsidP="0078308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Bezpośredni inhibitor aktywnego czynnika X (stężenie)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78308E" w:rsidRPr="00385FE6" w:rsidRDefault="0078308E" w:rsidP="0078308E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(w zależności od dawki i czasu podania- opis) [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/ml</w:t>
            </w:r>
            <w:r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78308E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F86F67" w:rsidRDefault="0078308E" w:rsidP="0078308E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G02.122.17.2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Apiksaban</w:t>
            </w:r>
            <w:proofErr w:type="spellEnd"/>
          </w:p>
          <w:p w:rsidR="0078308E" w:rsidRPr="00385FE6" w:rsidRDefault="0078308E" w:rsidP="0078308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Bezpośredni inhibitor aktywnego czynnika X (stężenie)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78308E" w:rsidRPr="00385FE6" w:rsidRDefault="0078308E" w:rsidP="0078308E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(w zależności od dawki i czasu podania- opis) [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/ml</w:t>
            </w:r>
            <w:r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57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560"/>
        <w:gridCol w:w="1701"/>
        <w:gridCol w:w="1559"/>
        <w:gridCol w:w="1560"/>
        <w:gridCol w:w="1701"/>
        <w:gridCol w:w="1985"/>
        <w:gridCol w:w="2127"/>
        <w:gridCol w:w="1418"/>
        <w:gridCol w:w="1134"/>
      </w:tblGrid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Przygoto-wanie</w:t>
            </w:r>
            <w:proofErr w:type="spellEnd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pacjenta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Poziom błędu</w:t>
            </w:r>
          </w:p>
        </w:tc>
      </w:tr>
      <w:tr w:rsidR="00385FE6" w:rsidRPr="00385FE6" w:rsidTr="00DD03ED">
        <w:tc>
          <w:tcPr>
            <w:tcW w:w="145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Badanie płynu mózgowo-rdzeniowego</w:t>
            </w:r>
            <w:r w:rsidRPr="00385FE6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</w:p>
        </w:tc>
      </w:tr>
      <w:tr w:rsidR="00385FE6" w:rsidRPr="00385FE6" w:rsidTr="00DD03ED">
        <w:trPr>
          <w:trHeight w:val="680"/>
        </w:trPr>
        <w:tc>
          <w:tcPr>
            <w:tcW w:w="960" w:type="dxa"/>
            <w:tcBorders>
              <w:bottom w:val="nil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C54.28.02</w:t>
            </w:r>
          </w:p>
        </w:tc>
        <w:tc>
          <w:tcPr>
            <w:tcW w:w="1560" w:type="dxa"/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Cytoza:</w:t>
            </w:r>
          </w:p>
        </w:tc>
        <w:tc>
          <w:tcPr>
            <w:tcW w:w="1701" w:type="dxa"/>
            <w:vMerge w:val="restart"/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701" w:type="dxa"/>
            <w:tcBorders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Próbki powinny być pobrane przed dokanałowym podaniem środków kontrastowych</w:t>
            </w:r>
          </w:p>
        </w:tc>
        <w:tc>
          <w:tcPr>
            <w:tcW w:w="1985" w:type="dxa"/>
            <w:tcBorders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2127" w:type="dxa"/>
            <w:tcBorders>
              <w:left w:val="single" w:sz="4" w:space="0" w:color="auto"/>
              <w:bottom w:val="nil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418" w:type="dxa"/>
            <w:tcBorders>
              <w:left w:val="single" w:sz="4" w:space="0" w:color="auto"/>
              <w:bottom w:val="nil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Próbkę poddać analizie w ciągu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4 godzin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zaleca się przechowywania materiału</w:t>
            </w:r>
          </w:p>
        </w:tc>
        <w:tc>
          <w:tcPr>
            <w:tcW w:w="1134" w:type="dxa"/>
            <w:tcBorders>
              <w:left w:val="single" w:sz="4" w:space="0" w:color="auto"/>
              <w:bottom w:val="nil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rPr>
          <w:trHeight w:val="680"/>
        </w:trPr>
        <w:tc>
          <w:tcPr>
            <w:tcW w:w="960" w:type="dxa"/>
            <w:tcBorders>
              <w:top w:val="nil"/>
              <w:bottom w:val="nil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Erytrocyty (RBC)</w:t>
            </w:r>
          </w:p>
        </w:tc>
        <w:tc>
          <w:tcPr>
            <w:tcW w:w="1701" w:type="dxa"/>
            <w:vMerge/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 komórek/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sym w:font="Symbol" w:char="F06D"/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</w:t>
            </w:r>
          </w:p>
        </w:tc>
        <w:tc>
          <w:tcPr>
            <w:tcW w:w="1560" w:type="dxa"/>
            <w:tcBorders>
              <w:top w:val="nil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nil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+/- 4%</w:t>
            </w:r>
          </w:p>
        </w:tc>
      </w:tr>
      <w:tr w:rsidR="00385FE6" w:rsidRPr="00385FE6" w:rsidTr="00DD03ED">
        <w:trPr>
          <w:trHeight w:val="680"/>
        </w:trPr>
        <w:tc>
          <w:tcPr>
            <w:tcW w:w="960" w:type="dxa"/>
            <w:tcBorders>
              <w:top w:val="nil"/>
              <w:bottom w:val="nil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Leukocyty (WBC)</w:t>
            </w:r>
          </w:p>
        </w:tc>
        <w:tc>
          <w:tcPr>
            <w:tcW w:w="1701" w:type="dxa"/>
            <w:vMerge/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 – 0.005 10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komórek/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sym w:font="Symbol" w:char="F06D"/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>Noworodki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perscript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 xml:space="preserve">0 - 0.030 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10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perscript"/>
                <w:lang w:eastAsia="pl-PL"/>
              </w:rPr>
              <w:t>3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komórek/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sym w:font="Symbol" w:char="F06D"/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perscript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nil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+/- 7%</w:t>
            </w:r>
          </w:p>
        </w:tc>
      </w:tr>
      <w:tr w:rsidR="00385FE6" w:rsidRPr="00385FE6" w:rsidTr="00DD03ED">
        <w:trPr>
          <w:trHeight w:val="680"/>
        </w:trPr>
        <w:tc>
          <w:tcPr>
            <w:tcW w:w="960" w:type="dxa"/>
            <w:tcBorders>
              <w:top w:val="nil"/>
              <w:bottom w:val="nil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Komórki o jądrze monomorficznym –MN (limfocyty i monocyty)</w:t>
            </w:r>
          </w:p>
        </w:tc>
        <w:tc>
          <w:tcPr>
            <w:tcW w:w="1701" w:type="dxa"/>
            <w:vMerge/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100%</w:t>
            </w:r>
          </w:p>
        </w:tc>
        <w:tc>
          <w:tcPr>
            <w:tcW w:w="1560" w:type="dxa"/>
            <w:tcBorders>
              <w:top w:val="nil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nil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rPr>
          <w:trHeight w:val="680"/>
        </w:trPr>
        <w:tc>
          <w:tcPr>
            <w:tcW w:w="960" w:type="dxa"/>
            <w:tcBorders>
              <w:top w:val="nil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Komórki o jądrze polimorficznym ---PN (neutrofile i 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eozynofile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0%</w:t>
            </w:r>
          </w:p>
        </w:tc>
        <w:tc>
          <w:tcPr>
            <w:tcW w:w="1560" w:type="dxa"/>
            <w:tcBorders>
              <w:top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nil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rPr>
          <w:trHeight w:val="1929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A03.28.131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Cytoza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mikroskopowa/komorowa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 – 5 komórek/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sym w:font="Symbol" w:char="F06D"/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Próbkę poddać analizie w ciągu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4 godzin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zaleca się przechowywania materiału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rPr>
          <w:trHeight w:val="8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Barwa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Ocena wzrokowa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wodojasny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rPr>
          <w:trHeight w:val="992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Przejrzystość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Ocena wzrokowa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przejrzysty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Pr="00385FE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57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560"/>
        <w:gridCol w:w="1701"/>
        <w:gridCol w:w="1559"/>
        <w:gridCol w:w="1560"/>
        <w:gridCol w:w="1701"/>
        <w:gridCol w:w="1985"/>
        <w:gridCol w:w="2127"/>
        <w:gridCol w:w="1418"/>
        <w:gridCol w:w="1134"/>
      </w:tblGrid>
      <w:tr w:rsidR="00385FE6" w:rsidRPr="00385FE6" w:rsidTr="00F862C6">
        <w:tc>
          <w:tcPr>
            <w:tcW w:w="145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lastRenderedPageBreak/>
              <w:t>Badanie płynu  z jam ciała</w:t>
            </w:r>
            <w:r w:rsidRPr="00385FE6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</w:p>
        </w:tc>
      </w:tr>
      <w:tr w:rsidR="00385FE6" w:rsidRPr="00385FE6" w:rsidTr="00F862C6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Cytoza 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(Liczba komórek w PJC)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-----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żylną wymieszać z antykoagulantem </w:t>
            </w: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(EDTA-2K; EDTA-3K; EDTA-2Na)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Próbkę poddać analizie najlepiej w ciągu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4 godzin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zaleca się przechowywania materiału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F862C6">
        <w:trPr>
          <w:trHeight w:val="680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Erytrocyty (RBC)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+/- 4%</w:t>
            </w:r>
          </w:p>
        </w:tc>
      </w:tr>
      <w:tr w:rsidR="00385FE6" w:rsidRPr="00385FE6" w:rsidTr="00F862C6">
        <w:trPr>
          <w:trHeight w:val="680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Leukocyty (WBC)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+/- 7%</w:t>
            </w:r>
          </w:p>
        </w:tc>
      </w:tr>
      <w:tr w:rsidR="00385FE6" w:rsidRPr="00385FE6" w:rsidTr="00F862C6">
        <w:trPr>
          <w:trHeight w:val="680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Komórki o jądrze monomorficznym (MN)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385FE6" w:rsidRPr="00385FE6" w:rsidTr="00F862C6">
        <w:trPr>
          <w:trHeight w:val="68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Komórki o jądrze polimorficznym (PN)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F862C6" w:rsidRPr="00385FE6" w:rsidTr="00F862C6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62C6" w:rsidRPr="00385FE6" w:rsidRDefault="00F862C6" w:rsidP="00F862C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62C6" w:rsidRPr="00385FE6" w:rsidRDefault="00F862C6" w:rsidP="00F862C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Hematokryt w PJC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62C6" w:rsidRPr="00385FE6" w:rsidRDefault="00F862C6" w:rsidP="00F862C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kumulacyjnego zliczania impulsów elektrycznych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62C6" w:rsidRPr="00385FE6" w:rsidRDefault="00F862C6" w:rsidP="00F862C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-----</w:t>
            </w:r>
          </w:p>
          <w:p w:rsidR="00F862C6" w:rsidRPr="00385FE6" w:rsidRDefault="00F862C6" w:rsidP="00F862C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2C6" w:rsidRPr="00385FE6" w:rsidRDefault="00F862C6" w:rsidP="00F862C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862C6" w:rsidRPr="00385FE6" w:rsidRDefault="00F862C6" w:rsidP="00F862C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2C6" w:rsidRPr="00385FE6" w:rsidRDefault="00F862C6" w:rsidP="00F862C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PJC wymieszać z antykoagulantem </w:t>
            </w: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(EDTA-2K; EDTA-3K; EDTA-2Na)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2C6" w:rsidRPr="00385FE6" w:rsidRDefault="00F862C6" w:rsidP="00F862C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2C6" w:rsidRPr="00385FE6" w:rsidRDefault="00F862C6" w:rsidP="00F862C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2C6" w:rsidRPr="00385FE6" w:rsidRDefault="00F862C6" w:rsidP="00F862C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2C6" w:rsidRPr="00385FE6" w:rsidRDefault="00F862C6" w:rsidP="00F862C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</w:tbl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Pr="00385FE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542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1"/>
        <w:gridCol w:w="1418"/>
        <w:gridCol w:w="1701"/>
        <w:gridCol w:w="1276"/>
        <w:gridCol w:w="1701"/>
        <w:gridCol w:w="1701"/>
        <w:gridCol w:w="2268"/>
        <w:gridCol w:w="1418"/>
        <w:gridCol w:w="1701"/>
        <w:gridCol w:w="1275"/>
      </w:tblGrid>
      <w:tr w:rsidR="00385FE6" w:rsidRPr="00385FE6" w:rsidTr="00DD03ED">
        <w:tc>
          <w:tcPr>
            <w:tcW w:w="1414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  <w:lang w:eastAsia="pl-PL"/>
              </w:rPr>
              <w:lastRenderedPageBreak/>
              <w:t>Badanie ogólne moczu</w:t>
            </w:r>
            <w:r w:rsidRPr="00385FE6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36"/>
                <w:szCs w:val="3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eastAsia="pl-PL"/>
              </w:rPr>
              <w:t>(metoda półilościowa przy zastosowaniu suchych testów)</w:t>
            </w:r>
            <w:r w:rsidRPr="00385FE6">
              <w:rPr>
                <w:rFonts w:ascii="Arial" w:eastAsia="Times New Roman" w:hAnsi="Arial" w:cs="Arial"/>
                <w:b/>
                <w:bCs/>
                <w:i/>
                <w:iCs/>
                <w:color w:val="FF0000"/>
                <w:sz w:val="36"/>
                <w:szCs w:val="36"/>
                <w:lang w:eastAsia="pl-PL"/>
              </w:rPr>
              <w:t>*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pH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czerwienią metylową, fenoloftaleiną, błękitem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bromotymolowym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5.0 – 7.5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Środkowy strumień moczu , wskazany mocz poranny, po zachowaniu podstawowych zasad higieny.                                  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 xml:space="preserve">Próbka moczu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 xml:space="preserve">ok.100 ml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( ze środkowego strumienia)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                                     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before="160"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Pobrana próbka moczu powinna zostać dostarczona do pracowni w jak najkrótszym czasie od pobrania.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W sytuacji, kiedy mocz musi być przechowywany, powinien być trzymany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temperaturze ok. +</w:t>
            </w:r>
            <w:smartTag w:uri="urn:schemas-microsoft-com:office:smarttags" w:element="metricconverter">
              <w:smartTagPr>
                <w:attr w:name="ProductID" w:val="4°C"/>
              </w:smartTagPr>
              <w:r w:rsidRPr="00385FE6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4°C</w:t>
              </w:r>
            </w:smartTag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,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Mocz przetrzymywany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temperaturze pokojowej już po kilku godzinach nie nadaje się do oceny.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before="160"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Ciężar właściwy SG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Metoda refraktometryczna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1.010 – 1.030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before="160"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before="160"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A07.20.20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Białko PRO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Test oparty na zasadzie błędu białkowego wskaźnika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pH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rPr>
          <w:trHeight w:val="283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A15.20.20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Glukoza GLU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Metoda GOD/POD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Ciała ketonowe KET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oparta na teście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Legala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Erytrocyty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z peroksydazą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Leukocyty LEU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solą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diazo-metoksymorfolinobenzenową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Urobilinogen UBG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solą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diazową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w normie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Bilirubina BIL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solą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diazową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rPr>
          <w:trHeight w:val="283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Związki nitrowe NIT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zasada testu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Griess'a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</w:tbl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tbl>
      <w:tblPr>
        <w:tblW w:w="15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418"/>
        <w:gridCol w:w="1702"/>
        <w:gridCol w:w="1276"/>
        <w:gridCol w:w="1701"/>
        <w:gridCol w:w="1701"/>
        <w:gridCol w:w="2268"/>
        <w:gridCol w:w="1418"/>
        <w:gridCol w:w="1701"/>
        <w:gridCol w:w="1275"/>
      </w:tblGrid>
      <w:tr w:rsidR="00385FE6" w:rsidRPr="00385FE6" w:rsidTr="00DD03ED">
        <w:tc>
          <w:tcPr>
            <w:tcW w:w="1414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Badanie własności fizycznych i automatyczna ocena osadu moczu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</w:p>
        </w:tc>
      </w:tr>
      <w:tr w:rsidR="00385FE6" w:rsidRPr="00385FE6" w:rsidTr="00DD03ED">
        <w:tc>
          <w:tcPr>
            <w:tcW w:w="9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>A19.20.872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Barwa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żółty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Ocenę osadu moczu najeży wykonać jak najszybciej po dostarczeniu materiału.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Nie zaleca się przechowywania materiału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lastRenderedPageBreak/>
              <w:t>Nie dotyczy</w:t>
            </w:r>
          </w:p>
        </w:tc>
      </w:tr>
      <w:tr w:rsidR="00385FE6" w:rsidRPr="00385FE6" w:rsidTr="00DD03ED">
        <w:trPr>
          <w:trHeight w:val="283"/>
        </w:trPr>
        <w:tc>
          <w:tcPr>
            <w:tcW w:w="14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Przejrzystość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Przejrzysty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rPr>
          <w:trHeight w:val="283"/>
        </w:trPr>
        <w:tc>
          <w:tcPr>
            <w:tcW w:w="14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Erytrocyty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 &lt; 22.7/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 &lt; 13.6/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rPr>
          <w:trHeight w:val="283"/>
        </w:trPr>
        <w:tc>
          <w:tcPr>
            <w:tcW w:w="14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Leukocyty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 &lt; 16,9/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 &lt; 13.2/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rPr>
          <w:trHeight w:val="283"/>
        </w:trPr>
        <w:tc>
          <w:tcPr>
            <w:tcW w:w="14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Agregaty 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leukocytarne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14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Nabłonki płaskie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 &lt; 39.6/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 &lt; 5.7/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14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Nabłonki okrągłe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14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Bakterie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 &lt;130.7</w:t>
            </w:r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 &lt; 26.4/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14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Śluz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rPr>
          <w:trHeight w:val="283"/>
        </w:trPr>
        <w:tc>
          <w:tcPr>
            <w:tcW w:w="14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Drożdżaki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14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Pasożyty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14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Składniki mineralne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5165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1"/>
        <w:gridCol w:w="1275"/>
        <w:gridCol w:w="1559"/>
        <w:gridCol w:w="1418"/>
        <w:gridCol w:w="1701"/>
        <w:gridCol w:w="1417"/>
        <w:gridCol w:w="2127"/>
        <w:gridCol w:w="1134"/>
        <w:gridCol w:w="1842"/>
        <w:gridCol w:w="1701"/>
      </w:tblGrid>
      <w:tr w:rsidR="00385FE6" w:rsidRPr="00385FE6" w:rsidTr="00DD03ED"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materiałami pobranymi do badania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Poziom błędu</w:t>
            </w:r>
          </w:p>
        </w:tc>
      </w:tr>
      <w:tr w:rsidR="00385FE6" w:rsidRPr="00385FE6" w:rsidTr="00DD03ED">
        <w:tc>
          <w:tcPr>
            <w:tcW w:w="134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 xml:space="preserve">Badanie kału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</w:p>
        </w:tc>
      </w:tr>
      <w:tr w:rsidR="00385FE6" w:rsidRPr="00385FE6" w:rsidTr="00DD03ED"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>A17.06.11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Krew utajona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kale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immunologiczna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użyciem p/ciał skierowanych przeciwko ludzkiej hemoglobinie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ujemny</w:t>
            </w:r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(-)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Nie jest konieczne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Zaleca się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odstawić na co najmniej 48 godz. przyjmowanie substancji: alkoholu, aspiryny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Pobrać kilka grudek kału z różnych miejsc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Kał przechowywać: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lodówce do 3 dni.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</w:tbl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F862C6" w:rsidRPr="00385FE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tbl>
      <w:tblPr>
        <w:tblW w:w="157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02"/>
        <w:gridCol w:w="1418"/>
        <w:gridCol w:w="1701"/>
        <w:gridCol w:w="1559"/>
        <w:gridCol w:w="1560"/>
        <w:gridCol w:w="1701"/>
        <w:gridCol w:w="1985"/>
        <w:gridCol w:w="2127"/>
        <w:gridCol w:w="1418"/>
        <w:gridCol w:w="1134"/>
      </w:tblGrid>
      <w:tr w:rsidR="00385FE6" w:rsidRPr="00385FE6" w:rsidTr="00DD03ED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>Kod badania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Poziom błędu</w:t>
            </w:r>
          </w:p>
        </w:tc>
      </w:tr>
      <w:tr w:rsidR="00385FE6" w:rsidRPr="00385FE6" w:rsidTr="00DD03ED">
        <w:tc>
          <w:tcPr>
            <w:tcW w:w="1456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Osmolalność</w:t>
            </w:r>
            <w:proofErr w:type="spellEnd"/>
            <w:r w:rsidRPr="00385FE6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</w:p>
        </w:tc>
      </w:tr>
      <w:tr w:rsidR="00385FE6" w:rsidRPr="00385FE6" w:rsidTr="00DD03ED">
        <w:trPr>
          <w:trHeight w:val="680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N25.126.16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proofErr w:type="spellStart"/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Osmolalność</w:t>
            </w:r>
            <w:proofErr w:type="spellEnd"/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 xml:space="preserve"> osocza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kriometryczna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>280-295mOsm/kg H</w:t>
            </w:r>
            <w:r w:rsidRPr="00385FE6">
              <w:rPr>
                <w:rFonts w:ascii="Calibri" w:eastAsia="Times New Roman" w:hAnsi="Calibri" w:cs="Times New Roman"/>
                <w:bCs/>
                <w:sz w:val="18"/>
                <w:szCs w:val="18"/>
                <w:vertAlign w:val="subscript"/>
                <w:lang w:eastAsia="pl-PL"/>
              </w:rPr>
              <w:t>2</w:t>
            </w:r>
            <w:r w:rsidRPr="00385FE6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>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standardowe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krew  pobrana na heparynę (2,5ml)lub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osocze heparynowe (0.5 ml)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temp. 20-24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  w ciągu 3 godz. od pobrania ( krew pełna)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temp. 20-24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  w ciągu 3 godz. od pobrania ( osocze)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temp 2-8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  w ciągu 24 godz. od pobrania (dotyczy osocza)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1 godzina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Do 24 godzin przechowywać w temp 2-8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+/-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3 </w:t>
            </w: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%</w:t>
            </w:r>
          </w:p>
        </w:tc>
      </w:tr>
      <w:tr w:rsidR="00385FE6" w:rsidRPr="00385FE6" w:rsidTr="00DD03ED">
        <w:trPr>
          <w:trHeight w:val="1929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N25.20.16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proofErr w:type="spellStart"/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Osmolalność</w:t>
            </w:r>
            <w:proofErr w:type="spellEnd"/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 xml:space="preserve"> moczu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kriometryczna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 xml:space="preserve">50-1200 </w:t>
            </w:r>
            <w:proofErr w:type="spellStart"/>
            <w:r w:rsidRPr="00385FE6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>mOsm</w:t>
            </w:r>
            <w:proofErr w:type="spellEnd"/>
            <w:r w:rsidRPr="00385FE6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>/kg H</w:t>
            </w:r>
            <w:r w:rsidRPr="00385FE6">
              <w:rPr>
                <w:rFonts w:ascii="Calibri" w:eastAsia="Times New Roman" w:hAnsi="Calibri" w:cs="Times New Roman"/>
                <w:bCs/>
                <w:sz w:val="18"/>
                <w:szCs w:val="18"/>
                <w:vertAlign w:val="subscript"/>
                <w:lang w:eastAsia="pl-PL"/>
              </w:rPr>
              <w:t>2</w:t>
            </w:r>
            <w:r w:rsidRPr="00385FE6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>O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standardowe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mocz (1ml)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temp. 20-24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  w ciągu 3 godz. od pobrania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temp 2-8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  w ciągu 24 godz. od pobrania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1 godzina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+/-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3 </w:t>
            </w: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%</w:t>
            </w:r>
          </w:p>
        </w:tc>
      </w:tr>
    </w:tbl>
    <w:p w:rsidR="00385FE6" w:rsidRDefault="00385FE6"/>
    <w:sectPr w:rsidR="00385FE6" w:rsidSect="00385FE6">
      <w:pgSz w:w="16838" w:h="11906" w:orient="landscape"/>
      <w:pgMar w:top="720" w:right="567" w:bottom="720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A81F5D"/>
    <w:multiLevelType w:val="hybridMultilevel"/>
    <w:tmpl w:val="07907514"/>
    <w:lvl w:ilvl="0" w:tplc="359851FE"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2E050E"/>
    <w:multiLevelType w:val="multilevel"/>
    <w:tmpl w:val="0458DE70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6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36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" w15:restartNumberingAfterBreak="0">
    <w:nsid w:val="366C0991"/>
    <w:multiLevelType w:val="multilevel"/>
    <w:tmpl w:val="7FB4A5E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413D1488"/>
    <w:multiLevelType w:val="multilevel"/>
    <w:tmpl w:val="0A26B1EC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4" w15:restartNumberingAfterBreak="0">
    <w:nsid w:val="4EB1312F"/>
    <w:multiLevelType w:val="multilevel"/>
    <w:tmpl w:val="E5D01B00"/>
    <w:lvl w:ilvl="0">
      <w:numFmt w:val="decimal"/>
      <w:lvlText w:val="%1.0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8" w:hanging="360"/>
      </w:pPr>
    </w:lvl>
    <w:lvl w:ilvl="2">
      <w:start w:val="1"/>
      <w:numFmt w:val="decimal"/>
      <w:lvlText w:val="%1.%2.%3"/>
      <w:lvlJc w:val="left"/>
      <w:pPr>
        <w:ind w:left="2136" w:hanging="720"/>
      </w:pPr>
    </w:lvl>
    <w:lvl w:ilvl="3">
      <w:start w:val="1"/>
      <w:numFmt w:val="decimal"/>
      <w:lvlText w:val="%1.%2.%3.%4"/>
      <w:lvlJc w:val="left"/>
      <w:pPr>
        <w:ind w:left="2844" w:hanging="720"/>
      </w:pPr>
    </w:lvl>
    <w:lvl w:ilvl="4">
      <w:start w:val="1"/>
      <w:numFmt w:val="decimal"/>
      <w:lvlText w:val="%1.%2.%3.%4.%5"/>
      <w:lvlJc w:val="left"/>
      <w:pPr>
        <w:ind w:left="3552" w:hanging="720"/>
      </w:pPr>
    </w:lvl>
    <w:lvl w:ilvl="5">
      <w:start w:val="1"/>
      <w:numFmt w:val="decimal"/>
      <w:lvlText w:val="%1.%2.%3.%4.%5.%6"/>
      <w:lvlJc w:val="left"/>
      <w:pPr>
        <w:ind w:left="4620" w:hanging="1080"/>
      </w:pPr>
    </w:lvl>
    <w:lvl w:ilvl="6">
      <w:start w:val="1"/>
      <w:numFmt w:val="decimal"/>
      <w:lvlText w:val="%1.%2.%3.%4.%5.%6.%7"/>
      <w:lvlJc w:val="left"/>
      <w:pPr>
        <w:ind w:left="5328" w:hanging="1080"/>
      </w:pPr>
    </w:lvl>
    <w:lvl w:ilvl="7">
      <w:start w:val="1"/>
      <w:numFmt w:val="decimal"/>
      <w:lvlText w:val="%1.%2.%3.%4.%5.%6.%7.%8"/>
      <w:lvlJc w:val="left"/>
      <w:pPr>
        <w:ind w:left="6396" w:hanging="1440"/>
      </w:pPr>
    </w:lvl>
    <w:lvl w:ilvl="8">
      <w:start w:val="1"/>
      <w:numFmt w:val="decimal"/>
      <w:lvlText w:val="%1.%2.%3.%4.%5.%6.%7.%8.%9"/>
      <w:lvlJc w:val="left"/>
      <w:pPr>
        <w:ind w:left="7104" w:hanging="1440"/>
      </w:pPr>
    </w:lvl>
  </w:abstractNum>
  <w:abstractNum w:abstractNumId="5" w15:restartNumberingAfterBreak="0">
    <w:nsid w:val="730D0AE3"/>
    <w:multiLevelType w:val="hybridMultilevel"/>
    <w:tmpl w:val="913E7E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4A42"/>
    <w:rsid w:val="00080FFD"/>
    <w:rsid w:val="0024505A"/>
    <w:rsid w:val="00385FE6"/>
    <w:rsid w:val="00414A42"/>
    <w:rsid w:val="00536612"/>
    <w:rsid w:val="005944A8"/>
    <w:rsid w:val="006F3C1C"/>
    <w:rsid w:val="0078308E"/>
    <w:rsid w:val="009264F9"/>
    <w:rsid w:val="00953FD7"/>
    <w:rsid w:val="00AE7F4A"/>
    <w:rsid w:val="00BD4DDF"/>
    <w:rsid w:val="00CD5828"/>
    <w:rsid w:val="00DD03ED"/>
    <w:rsid w:val="00E8449F"/>
    <w:rsid w:val="00E859E1"/>
    <w:rsid w:val="00F327FB"/>
    <w:rsid w:val="00F86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0E9479E"/>
  <w15:chartTrackingRefBased/>
  <w15:docId w15:val="{87F5E1DF-2922-400A-9185-8371023E1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4">
    <w:name w:val="heading 4"/>
    <w:basedOn w:val="Normalny"/>
    <w:next w:val="Normalny"/>
    <w:link w:val="Nagwek4Znak"/>
    <w:qFormat/>
    <w:rsid w:val="00385FE6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rsid w:val="00385FE6"/>
    <w:rPr>
      <w:rFonts w:ascii="Times New Roman" w:eastAsia="Times New Roman" w:hAnsi="Times New Roman" w:cs="Times New Roman"/>
      <w:sz w:val="26"/>
      <w:szCs w:val="20"/>
      <w:lang w:eastAsia="pl-PL"/>
    </w:rPr>
  </w:style>
  <w:style w:type="numbering" w:customStyle="1" w:styleId="Bezlisty1">
    <w:name w:val="Bez listy1"/>
    <w:next w:val="Bezlisty"/>
    <w:uiPriority w:val="99"/>
    <w:semiHidden/>
    <w:rsid w:val="00385FE6"/>
  </w:style>
  <w:style w:type="table" w:styleId="Tabela-Siatka">
    <w:name w:val="Table Grid"/>
    <w:basedOn w:val="Standardowy"/>
    <w:rsid w:val="00385FE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uiPriority w:val="99"/>
    <w:qFormat/>
    <w:rsid w:val="00385FE6"/>
    <w:pPr>
      <w:spacing w:after="0" w:line="240" w:lineRule="atLeast"/>
      <w:jc w:val="center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ytuZnak">
    <w:name w:val="Tytuł Znak"/>
    <w:basedOn w:val="Domylnaczcionkaakapitu"/>
    <w:link w:val="Tytu"/>
    <w:uiPriority w:val="99"/>
    <w:rsid w:val="00385FE6"/>
    <w:rPr>
      <w:rFonts w:ascii="Times New Roman" w:eastAsia="Times New Roman" w:hAnsi="Times New Roman" w:cs="Times New Roman"/>
      <w:sz w:val="26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385FE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385FE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rsid w:val="00385FE6"/>
    <w:pPr>
      <w:spacing w:after="0" w:line="240" w:lineRule="auto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85FE6"/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styleId="Numerstrony">
    <w:name w:val="page number"/>
    <w:basedOn w:val="Domylnaczcionkaakapitu"/>
    <w:rsid w:val="00385FE6"/>
  </w:style>
  <w:style w:type="paragraph" w:styleId="Nagwek">
    <w:name w:val="header"/>
    <w:basedOn w:val="Normalny"/>
    <w:link w:val="NagwekZnak"/>
    <w:uiPriority w:val="99"/>
    <w:rsid w:val="00385FE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385FE6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Pogrubienie">
    <w:name w:val="Strong"/>
    <w:uiPriority w:val="22"/>
    <w:qFormat/>
    <w:rsid w:val="00385FE6"/>
    <w:rPr>
      <w:b/>
      <w:bCs/>
    </w:rPr>
  </w:style>
  <w:style w:type="character" w:styleId="Odwoaniedokomentarza">
    <w:name w:val="annotation reference"/>
    <w:rsid w:val="00385FE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385FE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385FE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385FE6"/>
    <w:rPr>
      <w:b/>
      <w:bCs/>
      <w:lang w:val="x-none" w:eastAsia="x-none"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385FE6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rsid w:val="00385FE6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rsid w:val="00385FE6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Akapitzlist">
    <w:name w:val="List Paragraph"/>
    <w:basedOn w:val="Normalny"/>
    <w:uiPriority w:val="34"/>
    <w:qFormat/>
    <w:rsid w:val="00385FE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385FE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385FE6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NormalnyWeb">
    <w:name w:val="Normal (Web)"/>
    <w:basedOn w:val="Normalny"/>
    <w:uiPriority w:val="99"/>
    <w:unhideWhenUsed/>
    <w:rsid w:val="00385FE6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msonormal0">
    <w:name w:val="msonormal"/>
    <w:basedOn w:val="Normalny"/>
    <w:uiPriority w:val="99"/>
    <w:rsid w:val="00385FE6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12</Pages>
  <Words>2343</Words>
  <Characters>14060</Characters>
  <Application>Microsoft Office Word</Application>
  <DocSecurity>0</DocSecurity>
  <Lines>117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Udycz</dc:creator>
  <cp:keywords/>
  <dc:description/>
  <cp:lastModifiedBy>Monika Udycz</cp:lastModifiedBy>
  <cp:revision>6</cp:revision>
  <dcterms:created xsi:type="dcterms:W3CDTF">2021-01-28T10:56:00Z</dcterms:created>
  <dcterms:modified xsi:type="dcterms:W3CDTF">2021-02-01T08:31:00Z</dcterms:modified>
</cp:coreProperties>
</file>