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03ED" w:rsidRPr="00A71EB0" w:rsidRDefault="0024505A" w:rsidP="0024505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71EB0">
        <w:rPr>
          <w:rFonts w:ascii="Times New Roman" w:hAnsi="Times New Roman" w:cs="Times New Roman"/>
          <w:b/>
          <w:sz w:val="32"/>
          <w:szCs w:val="32"/>
        </w:rPr>
        <w:t>PRACOWNIA ANALITYKI LEKARSKIEJ</w:t>
      </w:r>
    </w:p>
    <w:p w:rsidR="0024505A" w:rsidRDefault="0024505A" w:rsidP="0024505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Ul. Kopernika 15b  - Tel. 12 424 83 83</w:t>
      </w:r>
      <w:r w:rsidR="00B50381">
        <w:rPr>
          <w:rFonts w:ascii="Times New Roman" w:hAnsi="Times New Roman" w:cs="Times New Roman"/>
          <w:b/>
          <w:sz w:val="28"/>
          <w:szCs w:val="28"/>
        </w:rPr>
        <w:t>, całodobowy 12 424 83 91, 12 424 83 92</w:t>
      </w:r>
    </w:p>
    <w:p w:rsidR="0024505A" w:rsidRPr="0024505A" w:rsidRDefault="0024505A" w:rsidP="0024505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Ul. Jakubowskiego 2  - tel. 12 400 </w:t>
      </w:r>
      <w:r w:rsidR="00F862C6">
        <w:rPr>
          <w:rFonts w:ascii="Times New Roman" w:hAnsi="Times New Roman" w:cs="Times New Roman"/>
          <w:b/>
          <w:sz w:val="28"/>
          <w:szCs w:val="28"/>
        </w:rPr>
        <w:t>36-16, 12 400 36 17, 12 400 36 18</w:t>
      </w:r>
      <w:r w:rsidR="00B50381">
        <w:rPr>
          <w:rFonts w:ascii="Times New Roman" w:hAnsi="Times New Roman" w:cs="Times New Roman"/>
          <w:b/>
          <w:sz w:val="28"/>
          <w:szCs w:val="28"/>
        </w:rPr>
        <w:t>, całodobowy 12 400 36 47</w:t>
      </w:r>
    </w:p>
    <w:p w:rsidR="00263536" w:rsidRDefault="00263536" w:rsidP="0024505A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24505A" w:rsidRPr="009E3282" w:rsidRDefault="0024505A" w:rsidP="0024505A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bookmarkStart w:id="0" w:name="_GoBack"/>
      <w:bookmarkEnd w:id="0"/>
      <w:r w:rsidRPr="009E3282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Badania wykonywane w trybie </w:t>
      </w:r>
      <w:r w:rsidR="00B50381" w:rsidRPr="009E3282">
        <w:rPr>
          <w:rFonts w:ascii="Times New Roman" w:hAnsi="Times New Roman" w:cs="Times New Roman"/>
          <w:b/>
          <w:color w:val="FF0000"/>
          <w:sz w:val="28"/>
          <w:szCs w:val="28"/>
        </w:rPr>
        <w:t>CITO, NA RATUNEK</w:t>
      </w:r>
    </w:p>
    <w:p w:rsidR="00385FE6" w:rsidRDefault="00385FE6"/>
    <w:tbl>
      <w:tblPr>
        <w:tblW w:w="15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7"/>
        <w:gridCol w:w="1358"/>
        <w:gridCol w:w="2269"/>
        <w:gridCol w:w="1985"/>
        <w:gridCol w:w="1559"/>
        <w:gridCol w:w="1417"/>
        <w:gridCol w:w="1560"/>
        <w:gridCol w:w="1246"/>
        <w:gridCol w:w="1305"/>
        <w:gridCol w:w="1134"/>
      </w:tblGrid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Poziom błędu</w:t>
            </w:r>
          </w:p>
        </w:tc>
      </w:tr>
      <w:tr w:rsidR="00385FE6" w:rsidRPr="00385FE6" w:rsidTr="00DD03ED">
        <w:trPr>
          <w:jc w:val="center"/>
        </w:trPr>
        <w:tc>
          <w:tcPr>
            <w:tcW w:w="138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Badania morfologii krwi obwodowej</w:t>
            </w:r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32"/>
                <w:szCs w:val="32"/>
                <w:lang w:eastAsia="pl-PL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F327FB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4.5 – 10.0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konieczne, wskazane na czczo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żylną wymieszać z antykoagulantem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3 – 4 godzin od pobrania, lub przechowywać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lodówce 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385FE6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do czasu wykonania analizy (nie mrozić).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trHeight w:val="667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ogniskowaniem hydrodynamicznym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4.0 – 5.0 10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4.5 – 5.9 10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4%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Hemoglobina*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SLS-hemoglobina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12.0 – 16.0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14.0 – 18.0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4%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Hematokryt*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kumulacyjnego zliczania impulsów elektrycznych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37 – 47 %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40 – 54 %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MCV*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80.0 – 96.0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27.0 – 31.0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MCHC*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31.0 – 36.0 g/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7%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Płytki krwi*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ogniskowaniem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hydrodymanicznym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140 – 440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10%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C56.103.02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C000"/>
                <w:sz w:val="16"/>
                <w:szCs w:val="16"/>
                <w:lang w:eastAsia="pl-PL"/>
              </w:rPr>
              <w:t>Frakcja płytek niedojrzałych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953FD7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0.8 – 6.2 %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MPV*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9.0 – 12.0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RDW-SD*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35.1 – 46.3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RDW-CV*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11.6 – 14.4 %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microR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0.5 – 3.0 %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macroR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3.2 – 11.5 %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HypoHe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1.1 %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HyperHe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0.7 – 1.3 %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PDW*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9.8 – 16.2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P-LCR*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19.5 -  43.8 %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PCT*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częstotliwości rozkładu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0.12 – 0.36 %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LYM*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1.0 – 4.5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20 – 45 %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20%</w:t>
            </w: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MON*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0.8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 – 10 %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NEU*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CD5828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1.8 – 7.7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45 – 70 %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EOS*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9264F9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0.04 – 0.45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 – 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BAS*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CD5828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0.01 – 0.2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CD5828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0.09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0,6 %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NRBC*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CD5828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fluorescencyjna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</w:t>
            </w:r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tometria</w:t>
            </w:r>
            <w:proofErr w:type="spellEnd"/>
            <w:r w:rsidR="00385FE6"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przepływowa z użyciem lasera półprzewodnikowego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0.0- 0.0/100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0.025 – 0.10 10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5 – 22 ‰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lastRenderedPageBreak/>
              <w:t xml:space="preserve">Ret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28-35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C69.103.02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IRF*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1.5 – 13.7 %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LFR*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87.8 – 98.6 %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MFR*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2.4 – 12.5 % 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rPr>
          <w:trHeight w:val="283"/>
          <w:jc w:val="center"/>
        </w:trPr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HFR*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0.0 – 2.4 %</w:t>
            </w:r>
          </w:p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Pr="00F862C6" w:rsidRDefault="00F862C6" w:rsidP="00F862C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F862C6">
        <w:rPr>
          <w:rFonts w:ascii="Times New Roman" w:eastAsia="Times New Roman" w:hAnsi="Times New Roman" w:cs="Times New Roman"/>
          <w:sz w:val="20"/>
          <w:szCs w:val="20"/>
          <w:lang w:eastAsia="ar-SA"/>
        </w:rPr>
        <w:t>*  RDW – współczynnik zmienności rozkładu objętości erytrocytów (wskaźnik anizocytozy).</w:t>
      </w:r>
    </w:p>
    <w:p w:rsidR="00385FE6" w:rsidRPr="00B50381" w:rsidRDefault="00F862C6" w:rsidP="00B50381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F862C6">
        <w:rPr>
          <w:rFonts w:ascii="Times New Roman" w:eastAsia="Times New Roman" w:hAnsi="Times New Roman" w:cs="Times New Roman"/>
          <w:sz w:val="20"/>
          <w:szCs w:val="20"/>
          <w:lang w:eastAsia="ar-SA"/>
        </w:rPr>
        <w:t>** PDW – współczynnik zmienności rozkładu objętości płytek krwi.</w:t>
      </w: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52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700"/>
        <w:gridCol w:w="1558"/>
        <w:gridCol w:w="1558"/>
        <w:gridCol w:w="1559"/>
        <w:gridCol w:w="1983"/>
        <w:gridCol w:w="1842"/>
        <w:gridCol w:w="1276"/>
        <w:gridCol w:w="1558"/>
        <w:gridCol w:w="1276"/>
      </w:tblGrid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pobranym materiałem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błędu</w:t>
            </w:r>
          </w:p>
        </w:tc>
      </w:tr>
      <w:tr w:rsidR="00385FE6" w:rsidRPr="00385FE6" w:rsidTr="00DD03ED">
        <w:tc>
          <w:tcPr>
            <w:tcW w:w="1399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Badania </w:t>
            </w:r>
            <w:proofErr w:type="spellStart"/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koagulologiczne</w:t>
            </w:r>
            <w:proofErr w:type="spellEnd"/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protrombinowy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 (PT)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aktywacji osocza tromboplastyną i jonami Ca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0.90 – 1.20 INR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10.4 – 13.0 sec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( 9 obj.) pobrana do roztworu 0,109 mol/l cytrynianu trójsodowego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 starannie wymieszana tak aby unikać tworzenia się piany.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6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6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 10%</w:t>
            </w: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G11.122.17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kaolinowo-kefalinowy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*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(APTT)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uprzedniej aktywacji jonami Ca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fosfolipidami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26.0 – 36.0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15 %</w:t>
            </w: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G53.122.17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Fibrynogen*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Fbg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dodaniu nadmiaru trombiny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+/- 15 %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Antytrombina III*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Antytrombina jest aktywowana za pomocą trombiny, której nadmiar oznaczany jest kolorymetrycznie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75 – 125 %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+/- 20 %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G05.122.17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C*</w:t>
            </w: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(aktywność)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podlega aktywacji pod wpływem swoistego aktywatora z jadu żmii.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bada się testem kinetycznym mierząc wzrost absorbancji przy dł. fali 450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nm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40 % normy dorosłych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140 %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+/- 20 %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G33.122.17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Czynnik VIII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(aktywność)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koagulometryczna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150 %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+/- 20 %</w:t>
            </w:r>
          </w:p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G02.122.17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Aktywność </w:t>
            </w:r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anty-</w:t>
            </w:r>
            <w:proofErr w:type="spellStart"/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Xa</w:t>
            </w:r>
            <w:proofErr w:type="spellEnd"/>
            <w:r w:rsidRPr="00385FE6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 xml:space="preserve"> heparyny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1.0 – 1.3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Heparyna Drobnocząsteczkowa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1xdziennie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0.6 – 1.0 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Drobnocząsteczkowa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2xdziennie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0.3 – 0.7  IU/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 niefrakcjonowana</w:t>
            </w: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+/- 20 %</w:t>
            </w:r>
          </w:p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G49.122.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br/>
              <w:t>1113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D-dimer*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- test ilościowy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Udoskonalona metoda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&lt;0.55 mg/l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12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1 mies.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+/- 20 %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G77.122.</w:t>
            </w: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br/>
              <w:t>012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Produkty degradacji fibrynogenu (FDP) *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 metoda półilościowa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Immunochemiczna </w:t>
            </w:r>
          </w:p>
          <w:p w:rsidR="00385FE6" w:rsidRPr="00385FE6" w:rsidRDefault="00385FE6" w:rsidP="00385FE6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przeciwciałami monoklonalnymi. </w:t>
            </w:r>
          </w:p>
          <w:p w:rsidR="00385FE6" w:rsidRPr="00385FE6" w:rsidRDefault="00385FE6" w:rsidP="00385FE6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Aglutynacja w obecności FDP</w:t>
            </w:r>
          </w:p>
          <w:p w:rsidR="00385FE6" w:rsidRPr="00385FE6" w:rsidRDefault="00385FE6" w:rsidP="00385FE6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manualna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5.0 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przechowywać: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godzin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miesiąca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78308E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F86F67" w:rsidRDefault="0078308E" w:rsidP="0078308E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G24.122.17.1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Dabigatran</w:t>
            </w:r>
            <w:proofErr w:type="spellEnd"/>
          </w:p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trombiny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78308E" w:rsidRPr="00385FE6" w:rsidRDefault="0078308E" w:rsidP="0078308E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(w zależności od dawki i czasu podania- opis) [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78308E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F86F67" w:rsidRDefault="0078308E" w:rsidP="0078308E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G02.122.17.3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Rywaroksaban</w:t>
            </w:r>
            <w:proofErr w:type="spellEnd"/>
          </w:p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78308E" w:rsidRPr="00385FE6" w:rsidRDefault="0078308E" w:rsidP="0078308E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(w zależności od dawki i czasu podania- opis) [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78308E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F86F67" w:rsidRDefault="0078308E" w:rsidP="0078308E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G02.122.17.2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Apiksaban</w:t>
            </w:r>
            <w:proofErr w:type="spellEnd"/>
          </w:p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78308E" w:rsidRPr="00385FE6" w:rsidRDefault="0078308E" w:rsidP="0078308E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(w zależności od dawki i czasu podania- opis) [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]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308E" w:rsidRPr="00385FE6" w:rsidRDefault="0078308E" w:rsidP="0078308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  <w:gridCol w:w="1134"/>
      </w:tblGrid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385FE6" w:rsidRPr="00385FE6" w:rsidRDefault="00385FE6" w:rsidP="00385FE6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błędu</w:t>
            </w:r>
          </w:p>
        </w:tc>
      </w:tr>
      <w:tr w:rsidR="00385FE6" w:rsidRPr="00385FE6" w:rsidTr="00DD03ED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mózgowo-rdzeniowego</w:t>
            </w:r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bottom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C54.28.02</w:t>
            </w: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Cytoza:</w:t>
            </w:r>
          </w:p>
        </w:tc>
        <w:tc>
          <w:tcPr>
            <w:tcW w:w="1701" w:type="dxa"/>
            <w:vMerge w:val="restart"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powinny być pobrane przed dokanałowym podaniem środków kontrastowych</w:t>
            </w:r>
          </w:p>
        </w:tc>
        <w:tc>
          <w:tcPr>
            <w:tcW w:w="1985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left w:val="single" w:sz="4" w:space="0" w:color="auto"/>
              <w:bottom w:val="nil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Nie zaleca się przechowywania materiału</w:t>
            </w: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Erytrocyty (RBC)</w:t>
            </w:r>
          </w:p>
        </w:tc>
        <w:tc>
          <w:tcPr>
            <w:tcW w:w="1701" w:type="dxa"/>
            <w:vMerge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 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+/- 4%</w:t>
            </w: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Leukocyty (WBC)</w:t>
            </w:r>
          </w:p>
        </w:tc>
        <w:tc>
          <w:tcPr>
            <w:tcW w:w="1701" w:type="dxa"/>
            <w:vMerge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0.005 10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3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Noworodki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 xml:space="preserve">0 - 0.030 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10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3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+/- 7%</w:t>
            </w: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monomorficznym –MN (limfocyty i monocyty)</w:t>
            </w:r>
          </w:p>
        </w:tc>
        <w:tc>
          <w:tcPr>
            <w:tcW w:w="1701" w:type="dxa"/>
            <w:vMerge/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100%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680"/>
        </w:trPr>
        <w:tc>
          <w:tcPr>
            <w:tcW w:w="960" w:type="dxa"/>
            <w:tcBorders>
              <w:top w:val="nil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Komórki o jądrze polimorficznym ---PN (neutrofile i </w:t>
            </w: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eozynofile</w:t>
            </w:r>
            <w:proofErr w:type="spellEnd"/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0%</w:t>
            </w:r>
          </w:p>
        </w:tc>
        <w:tc>
          <w:tcPr>
            <w:tcW w:w="1560" w:type="dxa"/>
            <w:tcBorders>
              <w:top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nil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192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mikroskopowa/komorowa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5 komórek/</w:t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385FE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8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wodojasny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99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50381" w:rsidRDefault="00B50381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50381" w:rsidRDefault="00B50381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Pr="00385FE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  <w:gridCol w:w="1134"/>
      </w:tblGrid>
      <w:tr w:rsidR="00385FE6" w:rsidRPr="00385FE6" w:rsidTr="00F862C6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 z jam ciała</w:t>
            </w:r>
            <w:r w:rsidRPr="00385FE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Cytoza 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(Liczba komórek w PJC)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-----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żylną wymieszać z antykoagulantem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najlepiej w ciągu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 (RBC)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+/- 4%</w:t>
            </w: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(WBC)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+/- 7%</w:t>
            </w: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monomorficznym (MN)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385FE6" w:rsidRPr="00385FE6" w:rsidTr="00F862C6">
        <w:trPr>
          <w:trHeight w:val="68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polimorficznym (PN)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862C6" w:rsidRPr="00385FE6" w:rsidTr="00F862C6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Hematokryt w PJC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kumulacyjnego zliczania impulsów elektrycznych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-----</w:t>
            </w:r>
          </w:p>
          <w:p w:rsidR="00F862C6" w:rsidRPr="00385FE6" w:rsidRDefault="00F862C6" w:rsidP="00F862C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PJC wymieszać z antykoagulantem </w:t>
            </w:r>
            <w:r w:rsidRPr="00385FE6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62C6" w:rsidRPr="00385FE6" w:rsidRDefault="00F862C6" w:rsidP="00F862C6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862C6" w:rsidRPr="00385FE6" w:rsidRDefault="00F862C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42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1418"/>
        <w:gridCol w:w="1701"/>
        <w:gridCol w:w="1276"/>
        <w:gridCol w:w="1701"/>
        <w:gridCol w:w="1701"/>
        <w:gridCol w:w="2268"/>
        <w:gridCol w:w="1418"/>
        <w:gridCol w:w="1701"/>
        <w:gridCol w:w="1275"/>
      </w:tblGrid>
      <w:tr w:rsidR="00385FE6" w:rsidRPr="00385FE6" w:rsidTr="00DD03ED">
        <w:tc>
          <w:tcPr>
            <w:tcW w:w="141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Badanie ogólne moczu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36"/>
                <w:szCs w:val="3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l-PL"/>
              </w:rPr>
              <w:t>(metoda półilościowa przy zastosowaniu suchych testów)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36"/>
                <w:szCs w:val="36"/>
                <w:lang w:eastAsia="pl-PL"/>
              </w:rPr>
              <w:t>*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czerwienią metylową, fenoloftaleiną, błękitem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bromotymolowym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5.0 – 7.5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Środkowy strumień moczu , wskazany mocz poranny, po zachowaniu podstawowych zasad higieny.                  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Próbka moczu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ok.100 ml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( ze środkowego strumienia)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Pobrana próbka moczu powinna zostać dostarczona do pracowni w jak najkrótszym czasie od pobrania.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sytuacji, kiedy mocz musi być przechowywany, powinien być trzymany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ok. +</w:t>
            </w:r>
            <w:smartTag w:uri="urn:schemas-microsoft-com:office:smarttags" w:element="metricconverter">
              <w:smartTagPr>
                <w:attr w:name="ProductID" w:val="4°C"/>
              </w:smartTagPr>
              <w:r w:rsidRPr="00385FE6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4°C</w:t>
              </w:r>
            </w:smartTag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Mocz przetrzymywany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pokojowej już po kilku godzinach nie nadaje się do oceny.</w:t>
            </w:r>
          </w:p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385FE6" w:rsidRPr="00385FE6" w:rsidRDefault="00385FE6" w:rsidP="00385FE6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Ciężar właściwy SG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refraktometryczna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1.010 – 1.030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A07.20.20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PRO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Test oparty na zasadzie błędu białkowego wskaźnika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283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A15.20.20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 GLU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GOD/POD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Ciała ketonowe KET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oparta na teście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Legala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</w:p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z peroksydazą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LEU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diazo-metoksymorfolinobenzenową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Urobilinogen UBG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w normie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BIL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385FE6" w:rsidRPr="00385FE6" w:rsidTr="00DD03ED">
        <w:trPr>
          <w:trHeight w:val="283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Związki nitrowe NIT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zasada testu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Griess'a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5FE6" w:rsidRPr="00385FE6" w:rsidRDefault="00385FE6" w:rsidP="00385FE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FE6" w:rsidRPr="00385FE6" w:rsidRDefault="00385FE6" w:rsidP="00385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</w:tbl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385FE6" w:rsidRPr="00385FE6" w:rsidRDefault="00385FE6" w:rsidP="00385F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385FE6" w:rsidRDefault="00385FE6"/>
    <w:sectPr w:rsidR="00385FE6" w:rsidSect="00385FE6">
      <w:pgSz w:w="16838" w:h="11906" w:orient="landscape"/>
      <w:pgMar w:top="720" w:right="567" w:bottom="72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5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A42"/>
    <w:rsid w:val="00080FFD"/>
    <w:rsid w:val="0024505A"/>
    <w:rsid w:val="00263536"/>
    <w:rsid w:val="00385FE6"/>
    <w:rsid w:val="00414A42"/>
    <w:rsid w:val="00536612"/>
    <w:rsid w:val="006F3C1C"/>
    <w:rsid w:val="0078308E"/>
    <w:rsid w:val="009264F9"/>
    <w:rsid w:val="00953FD7"/>
    <w:rsid w:val="009E3282"/>
    <w:rsid w:val="00A71EB0"/>
    <w:rsid w:val="00AE7F4A"/>
    <w:rsid w:val="00B50381"/>
    <w:rsid w:val="00BD4DDF"/>
    <w:rsid w:val="00CD5828"/>
    <w:rsid w:val="00DD03ED"/>
    <w:rsid w:val="00E8449F"/>
    <w:rsid w:val="00F327FB"/>
    <w:rsid w:val="00F86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31B107E"/>
  <w15:chartTrackingRefBased/>
  <w15:docId w15:val="{87F5E1DF-2922-400A-9185-8371023E1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qFormat/>
    <w:rsid w:val="00385FE6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385FE6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385FE6"/>
  </w:style>
  <w:style w:type="table" w:styleId="Tabela-Siatka">
    <w:name w:val="Table Grid"/>
    <w:basedOn w:val="Standardowy"/>
    <w:rsid w:val="00385F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385FE6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385FE6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385F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385F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385FE6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85FE6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385FE6"/>
  </w:style>
  <w:style w:type="paragraph" w:styleId="Nagwek">
    <w:name w:val="header"/>
    <w:basedOn w:val="Normalny"/>
    <w:link w:val="NagwekZnak"/>
    <w:uiPriority w:val="99"/>
    <w:rsid w:val="00385F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385FE6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385FE6"/>
    <w:rPr>
      <w:b/>
      <w:bCs/>
    </w:rPr>
  </w:style>
  <w:style w:type="character" w:styleId="Odwoaniedokomentarza">
    <w:name w:val="annotation reference"/>
    <w:rsid w:val="00385FE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385F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385FE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385FE6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385FE6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385FE6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385FE6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385FE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385F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385FE6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385FE6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385FE6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10</Pages>
  <Words>1816</Words>
  <Characters>10899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8</cp:revision>
  <dcterms:created xsi:type="dcterms:W3CDTF">2021-01-28T10:56:00Z</dcterms:created>
  <dcterms:modified xsi:type="dcterms:W3CDTF">2021-02-01T11:59:00Z</dcterms:modified>
</cp:coreProperties>
</file>