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BC5" w:rsidRDefault="00AC4BC5"/>
    <w:p w:rsidR="00AC4BC5" w:rsidRPr="000E012A" w:rsidRDefault="00AC4BC5" w:rsidP="00AC4BC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E012A">
        <w:rPr>
          <w:rFonts w:ascii="Times New Roman" w:hAnsi="Times New Roman" w:cs="Times New Roman"/>
          <w:b/>
          <w:sz w:val="32"/>
          <w:szCs w:val="32"/>
        </w:rPr>
        <w:t>PRACOWNIA BIOCHEMICZNA</w:t>
      </w:r>
    </w:p>
    <w:p w:rsidR="00AC4BC5" w:rsidRPr="00AC4BC5" w:rsidRDefault="00AC4BC5" w:rsidP="00AC4B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4BC5">
        <w:rPr>
          <w:rFonts w:ascii="Times New Roman" w:hAnsi="Times New Roman" w:cs="Times New Roman"/>
          <w:b/>
          <w:sz w:val="28"/>
          <w:szCs w:val="28"/>
        </w:rPr>
        <w:t xml:space="preserve">Ul. Kopernika 15b  - </w:t>
      </w:r>
      <w:r w:rsidR="00481AC5">
        <w:rPr>
          <w:rFonts w:ascii="Times New Roman" w:hAnsi="Times New Roman" w:cs="Times New Roman"/>
          <w:b/>
          <w:sz w:val="28"/>
          <w:szCs w:val="28"/>
        </w:rPr>
        <w:t>t</w:t>
      </w:r>
      <w:r w:rsidRPr="00AC4BC5">
        <w:rPr>
          <w:rFonts w:ascii="Times New Roman" w:hAnsi="Times New Roman" w:cs="Times New Roman"/>
          <w:b/>
          <w:sz w:val="28"/>
          <w:szCs w:val="28"/>
        </w:rPr>
        <w:t xml:space="preserve">el. </w:t>
      </w:r>
      <w:r w:rsidR="001D5A1E">
        <w:rPr>
          <w:rFonts w:ascii="Times New Roman" w:hAnsi="Times New Roman" w:cs="Times New Roman"/>
          <w:b/>
          <w:sz w:val="28"/>
          <w:szCs w:val="28"/>
        </w:rPr>
        <w:t>c</w:t>
      </w:r>
      <w:r>
        <w:rPr>
          <w:rFonts w:ascii="Times New Roman" w:hAnsi="Times New Roman" w:cs="Times New Roman"/>
          <w:b/>
          <w:sz w:val="28"/>
          <w:szCs w:val="28"/>
        </w:rPr>
        <w:t xml:space="preserve">ałodobowy </w:t>
      </w:r>
      <w:r w:rsidRPr="00AC4BC5">
        <w:rPr>
          <w:rFonts w:ascii="Times New Roman" w:hAnsi="Times New Roman" w:cs="Times New Roman"/>
          <w:b/>
          <w:sz w:val="28"/>
          <w:szCs w:val="28"/>
        </w:rPr>
        <w:t xml:space="preserve">12 424 83 </w:t>
      </w:r>
      <w:r>
        <w:rPr>
          <w:rFonts w:ascii="Times New Roman" w:hAnsi="Times New Roman" w:cs="Times New Roman"/>
          <w:b/>
          <w:sz w:val="28"/>
          <w:szCs w:val="28"/>
        </w:rPr>
        <w:t>91</w:t>
      </w:r>
      <w:r w:rsidR="001D5A1E">
        <w:rPr>
          <w:rFonts w:ascii="Times New Roman" w:hAnsi="Times New Roman" w:cs="Times New Roman"/>
          <w:b/>
          <w:sz w:val="28"/>
          <w:szCs w:val="28"/>
        </w:rPr>
        <w:t>, 12 424 83 92</w:t>
      </w:r>
    </w:p>
    <w:p w:rsidR="00AC4BC5" w:rsidRPr="00AC4BC5" w:rsidRDefault="00AC4BC5" w:rsidP="00AC4B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AC4BC5">
        <w:rPr>
          <w:rFonts w:ascii="Times New Roman" w:hAnsi="Times New Roman" w:cs="Times New Roman"/>
          <w:b/>
          <w:sz w:val="28"/>
          <w:szCs w:val="28"/>
        </w:rPr>
        <w:t>Ul. Ja</w:t>
      </w:r>
      <w:r w:rsidR="001D5A1E">
        <w:rPr>
          <w:rFonts w:ascii="Times New Roman" w:hAnsi="Times New Roman" w:cs="Times New Roman"/>
          <w:b/>
          <w:sz w:val="28"/>
          <w:szCs w:val="28"/>
        </w:rPr>
        <w:t>kubowskiego 2  - tel. całodobowy 12 400 36 47</w:t>
      </w:r>
    </w:p>
    <w:p w:rsidR="00AC4BC5" w:rsidRPr="000E012A" w:rsidRDefault="00AC4BC5" w:rsidP="00AC4BC5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0E012A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Badania wykonywane w trybie </w:t>
      </w:r>
      <w:r w:rsidR="00481AC5" w:rsidRPr="000E012A">
        <w:rPr>
          <w:rFonts w:ascii="Times New Roman" w:hAnsi="Times New Roman" w:cs="Times New Roman"/>
          <w:b/>
          <w:color w:val="FF0000"/>
          <w:sz w:val="28"/>
          <w:szCs w:val="28"/>
        </w:rPr>
        <w:t>CITO, NA RATUNEK</w:t>
      </w:r>
    </w:p>
    <w:p w:rsidR="00AC4BC5" w:rsidRPr="00AC4BC5" w:rsidRDefault="00AC4BC5" w:rsidP="00AC4BC5"/>
    <w:p w:rsidR="00AC4BC5" w:rsidRPr="00AC4BC5" w:rsidRDefault="00AC4BC5" w:rsidP="00AC4BC5"/>
    <w:tbl>
      <w:tblPr>
        <w:tblW w:w="15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355"/>
        <w:gridCol w:w="236"/>
        <w:gridCol w:w="968"/>
        <w:gridCol w:w="1432"/>
        <w:gridCol w:w="562"/>
        <w:gridCol w:w="1550"/>
        <w:gridCol w:w="1701"/>
        <w:gridCol w:w="85"/>
        <w:gridCol w:w="236"/>
        <w:gridCol w:w="1238"/>
        <w:gridCol w:w="2127"/>
        <w:gridCol w:w="1285"/>
        <w:gridCol w:w="1701"/>
        <w:gridCol w:w="1103"/>
      </w:tblGrid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 z pobranym materiałem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AC4BC5" w:rsidRPr="00AC4BC5" w:rsidTr="00AC4BC5">
        <w:trPr>
          <w:jc w:val="center"/>
        </w:trPr>
        <w:tc>
          <w:tcPr>
            <w:tcW w:w="1461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i immunochemiczne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Albumina*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zielenią bromokrezolową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35 - 52 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trybie planowym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2.5 mies.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miesiąca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I17.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ALT*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pirydoksalu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7 dni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88I19.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AST*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pirydoksalu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I23.103.191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Amoniak*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użyciem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dehydrogenazy glutaminianowej (GLDH)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♀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11 - 51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16 – 60 μmol/L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Nie jest konieczne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Próbkę pobierać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kiedy pacjent jest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spoczynku, bez użycia stazy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Pacjent nie powinien palić papierosów przed pobraniem próbki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Krew pobrana na EDTA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Dostarczyć do laboratorium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w lodzie niezwłocznie po pobraniu w temperaturze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2°- 8°. 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Materiał odwirować i odciągnąć osocze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w przeciągu 20 min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30 min.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3 dni 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+/- 9%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I25.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28 - 100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unikać mrożenia próbek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Biuretowa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66.0 – 87.0 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pobrana na skrzep!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Pacjenci powinni być w pozycji leżącej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Białko </w:t>
            </w: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C-reaktywne*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CRP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 wzmocniona cząstkami lateksu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 mg/L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11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36 miesięcy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całk.*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Bil-T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21.00 µmol/L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6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bezpośr.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Bil-D*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5.00 µmol/L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98 – 107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+/- 4%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K95.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Cholinesteraza*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tiocholiną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5320 – 12920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M18.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CK*</w:t>
            </w: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Kinaza fosfokreatynowa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 z fosfokreatyną, wg IFCC, ADP + NAC, 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0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C, UV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26 - 192 U/L                                ♂ 39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- 308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CK-MB*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(izoenzymMB)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immunonihibicji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NADP,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3 - 25 U/L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trHeight w:val="1497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L11.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Fosfataza alkaliczna*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p-nitrofenylofosforanem, i buf. AMP i HEDTA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Schumanna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35 - 104 U/L                                ♂ 40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- 129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L23.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Fosfor nieorganiczny*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fosfomolibdenianem amonu i kwasem siarkowym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0.81 - 1.45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L31.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GGTP* </w:t>
            </w: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(γ- glutamylo transpeptydaza)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substratem γ-glutamylo-3-karboksy-p-nitroanilidem i glicyloglicyną wg  IFCC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5 - 36 U/L                                ♂ 8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- 61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heksokinazą 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3,30 - 5,60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skrzep, heparynę lub fluorek sodu.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 xml:space="preserve">Krew odwirować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i odciągnąć surowicę w przeciągu 30 minut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Krew z fluorkiem sodu odwirować</w:t>
            </w: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br/>
              <w:t xml:space="preserve"> i odciągnąć osocze w ciągu 24 godz.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pobrane na fluorek: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Kreatynina*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alkalicznym pikrynianem i kompensacją wg Jaffego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44 – 80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μmol/L  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♂ 62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106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GFR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ze wzoru MDRD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› 60 ml/min/1.73 m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2</w:t>
            </w:r>
          </w:p>
        </w:tc>
        <w:tc>
          <w:tcPr>
            <w:tcW w:w="66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K33.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LDH*</w:t>
            </w: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(dehydrogenaza mleczanowa)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Test UV  L-mleczan- pirogronian ACC to IFCC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135-214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135 – 225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(4-20 dni)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225 – 600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Dzieci (2-15 lat) 120 – 300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50 dni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M67.11.191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Lipaza*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Enzymatyczna metoda kolorymetryczna substrat-ester kwasu 3-glutarowego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13 - 60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2godzin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Magnez całkowity*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jonami Mg i błękitem ksylidylowym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0.66 - 1.07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N11.104.191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Mleczan* 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(Lactat)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Metodat kolorymetryczna z LOD-POD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0.5 - 2.2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mmol/L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Próbkę pobierać kiedy pacjent jest w spoczynku, bez użycia stazy, lub w ciągu 3 minut od założenia stazy lecz przed jej zwolnieniem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fluorek sodowy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niezwłocznie po pobraniu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temperaturze 2°- 8°. 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odwirować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i odciągnąć osocze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przeciągu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15 minut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(oddzielone)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Mocznik*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2,76 - 8,07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N45. 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Potas*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3.50 - 5.10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+/- 4,6%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O35.11.065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Sód*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136 - 145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+/- 3%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całkowity*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2.15 - 2.55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Noworodki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0-1 mies.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1.9 – 2.60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mmol/l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21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8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O75.11.23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zjonizowany*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Parametr wyliczany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(z poziomu Ca i białka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surowicy)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0,98 - 1,13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N03.11.1135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Mioglobina*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110.0 μg/L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 przypadku monitorowania pacjenta kolejne oznaczenie NTproBNP musi zostać wykonane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N58.11.1135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Prokalcytonina*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0.10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 przypadku monitorowania pacjenta kolejne oznaczenie PCT musi zostać wykonane 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 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059.11.1135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Troponina I hs*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47.3 ng/L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 przypadku monitorowania pacjenta kolejne oznaczenie troponiny musi zostać wykonane 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 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 mass*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5.00 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 przypadku monitorowania pacjenta kolejne oznaczenie NTproBNP musi zostać wykonane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N24.11.1135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NTproBNP*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125 pg/ml – dla pacjentów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&lt; 75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450 pg/ml – dla pacjentów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&gt; 75 lat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 przypadku monitorowania pacjenta kolejne oznaczenie NTproBNP musi zostać wykonane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cantSplit/>
          <w:trHeight w:val="1134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L47.11.1135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HCG Total*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Test ilościowy 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metoda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chemiluminometryczna</w:t>
            </w: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- mężczyźni </w:t>
            </w: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br/>
              <w:t xml:space="preserve">   &lt; 2mlU/ml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- kobiety miesiączkujące </w:t>
            </w: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br/>
              <w:t xml:space="preserve">   &lt; 2 mlU/ml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- kobiety w menopauzie </w:t>
            </w: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br/>
              <w:t xml:space="preserve">   &lt; 2 mlU/ml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- kobiety ciężarne: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8 godz.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2 dni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629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tbl>
            <w:tblPr>
              <w:tblW w:w="0" w:type="auto"/>
              <w:tblInd w:w="99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742"/>
              <w:gridCol w:w="2085"/>
            </w:tblGrid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Tydzień ciąży: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Zakres: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2 - 4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39.1 - 8388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5 - 6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861 – 88 769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6 - 8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8636 – 218 085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8 - 10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18 700 – 244 467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10 - 12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23 143 – 181 899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13 - 27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6303 – 97 171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28 - 40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4360 – 74 883</w:t>
                  </w:r>
                </w:p>
              </w:tc>
            </w:tr>
          </w:tbl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TSH  3 gen.*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0.270 – 4.200 μIU/ml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O55.11.1137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fT3*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3.1 – 6.8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O69.11.1137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fT4*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12.0 – 22.0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81A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Ferrytyna</w:t>
            </w:r>
            <w:r w:rsidR="00481A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 – 400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M05.11.1137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Interleukina 6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 pg/ml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5 godz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CYFRA 21-1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3.3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=/- 20%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V82.11.1137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Anti SARS COV-2 IgM+IgG*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&lt; 0.80 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Niereaktywny wynik UJEMNY dla przeciwciał anty-SARS-CoV-2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&gt;= 0.80 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Reaktywny wynik DODATNI dla przeciwciał anty-SARS-CoV-2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*UWAGA!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UJEMNY wynik testu nie wyklucza całkowicie możliwości 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zakażenia SARS-CoV-2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=/- 15%</w:t>
            </w:r>
          </w:p>
        </w:tc>
      </w:tr>
      <w:tr w:rsidR="00AC4BC5" w:rsidRPr="00AC4BC5" w:rsidTr="00AC4BC5">
        <w:trPr>
          <w:jc w:val="center"/>
        </w:trPr>
        <w:tc>
          <w:tcPr>
            <w:tcW w:w="1461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lastRenderedPageBreak/>
              <w:t>Badania biochemiczne moczu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I09.20.191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</w:t>
            </w: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21 - 447 U/L                                ♂ 16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- 491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+/-7%</w:t>
            </w:r>
          </w:p>
        </w:tc>
      </w:tr>
    </w:tbl>
    <w:p w:rsidR="00AC4BC5" w:rsidRDefault="00AC4BC5"/>
    <w:p w:rsidR="00AC4BC5" w:rsidRDefault="00AC4BC5"/>
    <w:p w:rsidR="00AC4BC5" w:rsidRDefault="00AC4BC5"/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Default="002966FE"/>
    <w:p w:rsidR="002966FE" w:rsidRDefault="002966FE"/>
    <w:p w:rsidR="002966FE" w:rsidRDefault="002966FE"/>
    <w:p w:rsidR="002966FE" w:rsidRDefault="002966FE"/>
    <w:p w:rsidR="002966FE" w:rsidRDefault="002966FE"/>
    <w:p w:rsidR="002966FE" w:rsidRDefault="002966FE"/>
    <w:tbl>
      <w:tblPr>
        <w:tblW w:w="156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7"/>
        <w:gridCol w:w="1384"/>
        <w:gridCol w:w="2267"/>
        <w:gridCol w:w="1842"/>
        <w:gridCol w:w="1558"/>
        <w:gridCol w:w="1417"/>
        <w:gridCol w:w="1841"/>
        <w:gridCol w:w="1700"/>
        <w:gridCol w:w="1417"/>
        <w:gridCol w:w="1169"/>
      </w:tblGrid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2966FE" w:rsidTr="00C509BC">
        <w:tc>
          <w:tcPr>
            <w:tcW w:w="156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PARAMETRY KRYTYCZNE</w:t>
            </w:r>
            <w:r w:rsidRPr="002966FE">
              <w:rPr>
                <w:rFonts w:ascii="Arial" w:eastAsia="Times New Roman" w:hAnsi="Arial" w:cs="Arial"/>
                <w:b/>
                <w:i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2966FE" w:rsidRPr="002966FE" w:rsidTr="00C509BC"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O29.105.065.1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7.380 – 7.420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7.360 – 7.420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krwi powinny być pobierane do strzykawek heparynizowanych. Natychmiast po pobraniu należy ze strzykawki usunąć powietrze, zamknąć szczelnie i dokładnie wymieszać próbkę (przez delikatne odwracanie), aby uniknąć utworzenia się skrzepu.</w:t>
            </w:r>
          </w:p>
        </w:tc>
        <w:tc>
          <w:tcPr>
            <w:tcW w:w="184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Jeśli próbki nie mogą być poddane analizie w ciągu 10 minut od chwili pobrania, należy szczelnie zamknięte umieścić w schłodzonym pojemniku przeznaczonym do transportu materiału i niezwłocznie dostarczyć do laboratorium.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+/-0.06%</w:t>
            </w:r>
          </w:p>
        </w:tc>
      </w:tr>
      <w:tr w:rsidR="002966FE" w:rsidRPr="002966FE" w:rsidTr="00C509BC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Potencjometryczna 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br/>
              <w:t>z zastosowaniem elektrody CO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i wodorowej</w:t>
            </w: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32.5 – 43.7 mm 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35.0 – 46.6 mm 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+/-8%</w:t>
            </w:r>
          </w:p>
        </w:tc>
      </w:tr>
      <w:tr w:rsidR="002966FE" w:rsidRPr="002966FE" w:rsidTr="00C509BC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Potencjometryczna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z elektrodami O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CO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H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perscript"/>
                <w:lang w:eastAsia="pl-PL"/>
              </w:rPr>
              <w:t>+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83.0 – 108.0 mm Hg 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+/-8%</w:t>
            </w: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THB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12.0 – 16.0 g/dl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13.5 – 17.5 g/dl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95.0 – 99.0 %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94.0 – 99.0 %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COHB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1.5 %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METHB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1.5 %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RHB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10 %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Elektroda jono -selektywna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3.5 – 5.0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+/-4.5 %</w:t>
            </w:r>
          </w:p>
        </w:tc>
      </w:tr>
      <w:tr w:rsidR="002966FE" w:rsidRPr="002966FE" w:rsidTr="00C509BC">
        <w:trPr>
          <w:trHeight w:val="64"/>
        </w:trPr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Elektroda jono -selektywna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36.0 – 146.0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+/- 3%</w:t>
            </w: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7.380 – 7.420 mm 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7.60 – 7.420 mm 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32.5 – 43.7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35.0 – 46.6 mmol/l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83.0 – 108.0 mmol/l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Vol%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P50ACT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 – 28 mm Hg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BE-B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-3.2 – 1.8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Woorowęglany SBC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22.2 – 28.3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8.0 – 9.9 Vol%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24.00 – 29.00 mm Hg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37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o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2966FE" w:rsidRDefault="002966FE"/>
    <w:p w:rsidR="002966FE" w:rsidRDefault="002966FE"/>
    <w:p w:rsidR="002966FE" w:rsidRDefault="002966FE"/>
    <w:p w:rsidR="002966FE" w:rsidRDefault="002966FE"/>
    <w:tbl>
      <w:tblPr>
        <w:tblW w:w="154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7"/>
        <w:gridCol w:w="1384"/>
        <w:gridCol w:w="2267"/>
        <w:gridCol w:w="1842"/>
        <w:gridCol w:w="1558"/>
        <w:gridCol w:w="1417"/>
        <w:gridCol w:w="1841"/>
        <w:gridCol w:w="1700"/>
        <w:gridCol w:w="1417"/>
        <w:gridCol w:w="1027"/>
      </w:tblGrid>
      <w:tr w:rsidR="00C509BC" w:rsidRPr="00D514AB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C509BC" w:rsidRPr="00D514AB" w:rsidTr="00C509BC">
        <w:tc>
          <w:tcPr>
            <w:tcW w:w="154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i/>
                <w:lang w:eastAsia="pl-PL"/>
              </w:rPr>
              <w:t>Gazometria i RKZ</w:t>
            </w:r>
            <w:r w:rsidRPr="00D514AB">
              <w:rPr>
                <w:rFonts w:ascii="Arial" w:eastAsia="Times New Roman" w:hAnsi="Arial" w:cs="Arial"/>
                <w:b/>
                <w:i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C509BC" w:rsidRPr="00D514AB" w:rsidTr="00C509BC"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O29.062.065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O29.072.065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7.380 – 7.420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7.360 – 7.420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krwi powinny być pobierane do strzykawek heparynizowanych. Natychmiast po pobraniu należy ze strzykawki usunąć powietrze, zamknąć szczelnie i dokładnie wymieszać próbkę (przez delikatne odwracanie), aby uniknąć utworzenia się skrzepu.</w:t>
            </w:r>
          </w:p>
        </w:tc>
        <w:tc>
          <w:tcPr>
            <w:tcW w:w="184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Jeśli próbki nie mogą być poddane analizie w ciągu 10 minut od chwili pobrania, należy szczelnie zamknięte umieścić w schłodzonym pojemniku przeznaczonym do transportu materiału i niezwłocznie dostarczyć do laboratorium.</w:t>
            </w:r>
          </w:p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+/-0.06%</w:t>
            </w:r>
          </w:p>
        </w:tc>
      </w:tr>
      <w:tr w:rsidR="00C509BC" w:rsidRPr="00D514AB" w:rsidTr="00C509BC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D514AB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elektrodami O</w:t>
            </w:r>
            <w:r w:rsidRPr="00D514AB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CO</w:t>
            </w:r>
            <w:r w:rsidRPr="00D514AB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H</w:t>
            </w:r>
            <w:r w:rsidRPr="00D514AB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+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</w:t>
            </w: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75.0 – 95.0 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+/-8%</w:t>
            </w:r>
          </w:p>
        </w:tc>
      </w:tr>
      <w:tr w:rsidR="00C509BC" w:rsidRPr="00D514AB" w:rsidTr="00C509BC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D514AB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Potencjometryczna z zastosowaniem elektrody CO</w:t>
            </w:r>
            <w:r w:rsidRPr="00D514AB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D514AB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br/>
            </w: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32.5 – 43.7 mmHg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35.0 – 46.6 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+/-8%</w:t>
            </w:r>
          </w:p>
        </w:tc>
      </w:tr>
      <w:tr w:rsidR="00C509BC" w:rsidRPr="00D514AB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HCO</w:t>
            </w:r>
            <w:r w:rsidRPr="00D514AB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22.0 – 26.0 mmol/L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C509BC" w:rsidRPr="00D514AB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D514A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-1 - 3 mmol/L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C509BC" w:rsidRPr="00D514AB" w:rsidTr="00C509BC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D514A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sat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09BC" w:rsidRPr="00D514AB" w:rsidRDefault="00C509BC" w:rsidP="009D6AB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D514AB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95.0 – 99.0 %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9BC" w:rsidRPr="00D514AB" w:rsidRDefault="00C509BC" w:rsidP="009D6AB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D514A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</w:tbl>
    <w:p w:rsidR="002966FE" w:rsidRPr="002966FE" w:rsidRDefault="002966FE" w:rsidP="002966FE">
      <w:pPr>
        <w:tabs>
          <w:tab w:val="left" w:pos="900"/>
        </w:tabs>
      </w:pPr>
    </w:p>
    <w:sectPr w:rsidR="002966FE" w:rsidRPr="002966FE" w:rsidSect="00AC4BC5">
      <w:pgSz w:w="16838" w:h="11906" w:orient="landscape"/>
      <w:pgMar w:top="1418" w:right="1418" w:bottom="1418" w:left="79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7098" w:rsidRDefault="009D7098" w:rsidP="00AC4BC5">
      <w:pPr>
        <w:spacing w:after="0" w:line="240" w:lineRule="auto"/>
      </w:pPr>
      <w:r>
        <w:separator/>
      </w:r>
    </w:p>
  </w:endnote>
  <w:endnote w:type="continuationSeparator" w:id="0">
    <w:p w:rsidR="009D7098" w:rsidRDefault="009D7098" w:rsidP="00AC4B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7098" w:rsidRDefault="009D7098" w:rsidP="00AC4BC5">
      <w:pPr>
        <w:spacing w:after="0" w:line="240" w:lineRule="auto"/>
      </w:pPr>
      <w:r>
        <w:separator/>
      </w:r>
    </w:p>
  </w:footnote>
  <w:footnote w:type="continuationSeparator" w:id="0">
    <w:p w:rsidR="009D7098" w:rsidRDefault="009D7098" w:rsidP="00AC4B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59F"/>
    <w:rsid w:val="000E012A"/>
    <w:rsid w:val="001D5A1E"/>
    <w:rsid w:val="002966FE"/>
    <w:rsid w:val="00481AC5"/>
    <w:rsid w:val="00886132"/>
    <w:rsid w:val="008E259F"/>
    <w:rsid w:val="008E59E4"/>
    <w:rsid w:val="009D7098"/>
    <w:rsid w:val="00AC4BC5"/>
    <w:rsid w:val="00AE7F4A"/>
    <w:rsid w:val="00BD4DDF"/>
    <w:rsid w:val="00C5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6D27338"/>
  <w15:chartTrackingRefBased/>
  <w15:docId w15:val="{1F27DF4E-DFC8-407B-92C2-65AA17CCD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2966FE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2966FE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2966FE"/>
  </w:style>
  <w:style w:type="table" w:styleId="Tabela-Siatka">
    <w:name w:val="Table Grid"/>
    <w:basedOn w:val="Standardowy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2966FE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2966FE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2966F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2966F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2966FE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966FE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2966FE"/>
  </w:style>
  <w:style w:type="paragraph" w:styleId="Nagwek">
    <w:name w:val="header"/>
    <w:basedOn w:val="Normalny"/>
    <w:link w:val="NagwekZnak"/>
    <w:uiPriority w:val="99"/>
    <w:rsid w:val="002966F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2966F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2966FE"/>
    <w:rPr>
      <w:b/>
      <w:bCs/>
    </w:rPr>
  </w:style>
  <w:style w:type="character" w:styleId="Odwoaniedokomentarza">
    <w:name w:val="annotation reference"/>
    <w:rsid w:val="002966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966F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2966FE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2966FE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2966FE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2966F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2966F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2966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2966F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2966F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2966F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2">
    <w:name w:val="Bez listy2"/>
    <w:next w:val="Bezlisty"/>
    <w:uiPriority w:val="99"/>
    <w:semiHidden/>
    <w:rsid w:val="002966FE"/>
  </w:style>
  <w:style w:type="table" w:customStyle="1" w:styleId="Tabela-Siatka1">
    <w:name w:val="Tabela - Siatka1"/>
    <w:basedOn w:val="Standardowy"/>
    <w:next w:val="Tabela-Siatka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rsid w:val="002966FE"/>
  </w:style>
  <w:style w:type="table" w:customStyle="1" w:styleId="Tabela-Siatka2">
    <w:name w:val="Tabela - Siatka2"/>
    <w:basedOn w:val="Standardowy"/>
    <w:next w:val="Tabela-Siatka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AC4BC5"/>
  </w:style>
  <w:style w:type="numbering" w:customStyle="1" w:styleId="Bezlisty11">
    <w:name w:val="Bez listy11"/>
    <w:next w:val="Bezlisty"/>
    <w:uiPriority w:val="99"/>
    <w:semiHidden/>
    <w:rsid w:val="00AC4BC5"/>
  </w:style>
  <w:style w:type="table" w:customStyle="1" w:styleId="Tabela-Siatka3">
    <w:name w:val="Tabela - Siatka3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">
    <w:name w:val="Bez listy21"/>
    <w:next w:val="Bezlisty"/>
    <w:uiPriority w:val="99"/>
    <w:semiHidden/>
    <w:rsid w:val="00AC4BC5"/>
  </w:style>
  <w:style w:type="table" w:customStyle="1" w:styleId="Tabela-Siatka11">
    <w:name w:val="Tabela - Siatka11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rsid w:val="00AC4BC5"/>
  </w:style>
  <w:style w:type="table" w:customStyle="1" w:styleId="Tabela-Siatka21">
    <w:name w:val="Tabela - Siatka21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5">
    <w:name w:val="Bez listy5"/>
    <w:next w:val="Bezlisty"/>
    <w:uiPriority w:val="99"/>
    <w:semiHidden/>
    <w:unhideWhenUsed/>
    <w:rsid w:val="00AC4BC5"/>
  </w:style>
  <w:style w:type="numbering" w:customStyle="1" w:styleId="Bezlisty12">
    <w:name w:val="Bez listy12"/>
    <w:next w:val="Bezlisty"/>
    <w:uiPriority w:val="99"/>
    <w:semiHidden/>
    <w:rsid w:val="00AC4BC5"/>
  </w:style>
  <w:style w:type="table" w:customStyle="1" w:styleId="Tabela-Siatka4">
    <w:name w:val="Tabela - Siatka4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">
    <w:name w:val="Bez listy22"/>
    <w:next w:val="Bezlisty"/>
    <w:uiPriority w:val="99"/>
    <w:semiHidden/>
    <w:rsid w:val="00AC4BC5"/>
  </w:style>
  <w:style w:type="table" w:customStyle="1" w:styleId="Tabela-Siatka12">
    <w:name w:val="Tabela - Siatka12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rsid w:val="00AC4BC5"/>
  </w:style>
  <w:style w:type="table" w:customStyle="1" w:styleId="Tabela-Siatka22">
    <w:name w:val="Tabela - Siatka22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12</Pages>
  <Words>3163</Words>
  <Characters>18981</Characters>
  <Application>Microsoft Office Word</Application>
  <DocSecurity>0</DocSecurity>
  <Lines>158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8</cp:revision>
  <dcterms:created xsi:type="dcterms:W3CDTF">2021-02-01T07:50:00Z</dcterms:created>
  <dcterms:modified xsi:type="dcterms:W3CDTF">2021-02-01T08:29:00Z</dcterms:modified>
</cp:coreProperties>
</file>