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261EDC06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5E686F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26705E23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934684">
        <w:rPr>
          <w:rFonts w:ascii="Arial Narrow" w:hAnsi="Arial Narrow"/>
          <w:b/>
          <w:sz w:val="40"/>
          <w:szCs w:val="40"/>
          <w:u w:val="single"/>
        </w:rPr>
        <w:t>59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5E686F">
        <w:rPr>
          <w:rFonts w:ascii="Arial Narrow" w:hAnsi="Arial Narrow"/>
          <w:b/>
          <w:sz w:val="40"/>
          <w:szCs w:val="40"/>
          <w:u w:val="single"/>
        </w:rPr>
        <w:t>2026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71B2AECC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nie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dopuszcza możliwoś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>ci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5FF05282" w14:textId="77777777" w:rsidR="0061622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616223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0D0913EF" w14:textId="3BC58E9E" w:rsidR="00641F93" w:rsidRDefault="00510A26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>
        <w:rPr>
          <w:rFonts w:ascii="Arial Narrow" w:hAnsi="Arial Narrow"/>
          <w:color w:val="000000" w:themeColor="text1"/>
          <w:spacing w:val="-4"/>
          <w:sz w:val="24"/>
          <w:szCs w:val="22"/>
        </w:rPr>
        <w:lastRenderedPageBreak/>
        <w:t>Przyjmujący Zamówienie, który zadeklarował w kryteriach oceny ofert odbiór materiału,</w:t>
      </w:r>
      <w:r w:rsidR="00D77EBB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641F93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616223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641F93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56198384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72151AC3" w14:textId="77777777" w:rsidR="00641F93" w:rsidRPr="00E30603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W przypadku badań typowania tkankowego Przyjmujący Zamówienie winien posiadać pozwolenie Ministra Zdrowia 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436A60BF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 xml:space="preserve">Udzielający Zamówienie będzie dostarczał materiał do badań we własnym zakresie, chyba że Przyjmujący Zamówienie zadeklaruje w kryteriach oceny ofert </w:t>
      </w:r>
      <w:r w:rsidR="007B362E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odbiór materiału, </w:t>
      </w:r>
      <w:r w:rsidR="007B362E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7B362E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E441D00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Przyjmujący zamówienie winien określić oraz oznaczyć na dokumentach typ badania genetycznego (proste, złożone, zaawansowane)</w:t>
      </w:r>
      <w:r w:rsidR="007B362E">
        <w:rPr>
          <w:rFonts w:ascii="Arial Narrow" w:hAnsi="Arial Narrow"/>
          <w:sz w:val="24"/>
          <w:szCs w:val="22"/>
        </w:rPr>
        <w:t>;</w:t>
      </w:r>
    </w:p>
    <w:p w14:paraId="1ED74478" w14:textId="77777777" w:rsidR="007B362E" w:rsidRPr="00AE3866" w:rsidRDefault="007B362E" w:rsidP="007B362E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61977D2" w14:textId="77777777" w:rsidR="007B362E" w:rsidRPr="00230089" w:rsidRDefault="007B362E" w:rsidP="007B362E">
      <w:pPr>
        <w:pStyle w:val="Akapitzlist"/>
        <w:ind w:left="1065"/>
        <w:jc w:val="both"/>
        <w:rPr>
          <w:rFonts w:ascii="Arial Narrow" w:hAnsi="Arial Narrow"/>
          <w:sz w:val="24"/>
          <w:szCs w:val="22"/>
        </w:rPr>
      </w:pP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0481033F" w14:textId="0B74CA93" w:rsidR="00641F93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7B362E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5E3F84AA" w14:textId="45D159F4" w:rsidR="007B362E" w:rsidRDefault="007B362E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7777777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>Oświadczenia o posiadaniu przez Oferenta odpowiednich warunków lokalowych oraz sprzętowych, o którym mowa w punkcie 8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68550C76" w14:textId="77777777" w:rsidR="00641F93" w:rsidRPr="002216AA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 xml:space="preserve">Pozwolenie Ministra Zdrowia </w:t>
      </w:r>
      <w:r w:rsidRPr="00A16D1C">
        <w:rPr>
          <w:rFonts w:ascii="Arial Narrow" w:hAnsi="Arial Narrow"/>
          <w:spacing w:val="-4"/>
          <w:sz w:val="24"/>
          <w:szCs w:val="22"/>
        </w:rPr>
        <w:t>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 xml:space="preserve">, data i podpis Oferenta (możliwość potwierdzenia przez osobę </w:t>
      </w:r>
      <w:r w:rsidRPr="005E68A1">
        <w:rPr>
          <w:rFonts w:ascii="Arial Narrow" w:hAnsi="Arial Narrow"/>
          <w:sz w:val="24"/>
          <w:szCs w:val="24"/>
        </w:rPr>
        <w:lastRenderedPageBreak/>
        <w:t>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3E62F4EE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3A794D8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751C0B88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>w Kancelarii Szpitala przy ul</w:t>
      </w:r>
      <w:r w:rsidR="00B426B3">
        <w:rPr>
          <w:rFonts w:ascii="Arial Narrow" w:hAnsi="Arial Narrow"/>
          <w:sz w:val="24"/>
          <w:szCs w:val="24"/>
        </w:rPr>
        <w:t>. Marii Orwid 11,</w:t>
      </w:r>
    </w:p>
    <w:p w14:paraId="002875AE" w14:textId="17A430AD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5E686F">
        <w:rPr>
          <w:rFonts w:ascii="Arial Narrow" w:hAnsi="Arial Narrow"/>
          <w:b/>
          <w:sz w:val="24"/>
          <w:szCs w:val="24"/>
        </w:rPr>
        <w:t>1</w:t>
      </w:r>
      <w:r w:rsidR="009E5E87">
        <w:rPr>
          <w:rFonts w:ascii="Arial Narrow" w:hAnsi="Arial Narrow"/>
          <w:b/>
          <w:sz w:val="24"/>
          <w:szCs w:val="24"/>
        </w:rPr>
        <w:t>8</w:t>
      </w:r>
      <w:r w:rsidR="005E686F">
        <w:rPr>
          <w:rFonts w:ascii="Arial Narrow" w:hAnsi="Arial Narrow"/>
          <w:b/>
          <w:sz w:val="24"/>
          <w:szCs w:val="24"/>
        </w:rPr>
        <w:t>.06.2026r.</w:t>
      </w:r>
      <w:r w:rsidR="00FD4EB4">
        <w:rPr>
          <w:rFonts w:ascii="Arial Narrow" w:hAnsi="Arial Narrow"/>
          <w:b/>
          <w:sz w:val="24"/>
          <w:szCs w:val="24"/>
        </w:rPr>
        <w:t xml:space="preserve">.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10EC2B27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</w:t>
      </w:r>
      <w:r w:rsidR="005E686F">
        <w:rPr>
          <w:rFonts w:ascii="Arial Narrow" w:hAnsi="Arial Narrow"/>
          <w:sz w:val="24"/>
          <w:szCs w:val="24"/>
        </w:rPr>
        <w:t xml:space="preserve"> </w:t>
      </w:r>
      <w:r w:rsidR="005E686F" w:rsidRPr="009E5E87">
        <w:rPr>
          <w:rFonts w:ascii="Arial Narrow" w:hAnsi="Arial Narrow"/>
          <w:b/>
          <w:sz w:val="24"/>
          <w:szCs w:val="24"/>
        </w:rPr>
        <w:t>1</w:t>
      </w:r>
      <w:r w:rsidR="009E5E87" w:rsidRPr="009E5E87">
        <w:rPr>
          <w:rFonts w:ascii="Arial Narrow" w:hAnsi="Arial Narrow"/>
          <w:b/>
          <w:sz w:val="24"/>
          <w:szCs w:val="24"/>
        </w:rPr>
        <w:t>8</w:t>
      </w:r>
      <w:r w:rsidR="005E686F" w:rsidRPr="009E5E87">
        <w:rPr>
          <w:rFonts w:ascii="Arial Narrow" w:hAnsi="Arial Narrow"/>
          <w:b/>
          <w:sz w:val="24"/>
          <w:szCs w:val="24"/>
        </w:rPr>
        <w:t>.06.2026r</w:t>
      </w:r>
      <w:r w:rsidR="005E686F">
        <w:rPr>
          <w:rFonts w:ascii="Arial Narrow" w:hAnsi="Arial Narrow"/>
          <w:sz w:val="24"/>
          <w:szCs w:val="24"/>
        </w:rPr>
        <w:t>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03B03AAF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 zwrócone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44ADBB94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9E5E87" w:rsidRPr="009E5E87">
        <w:rPr>
          <w:rFonts w:ascii="Arial Narrow" w:hAnsi="Arial Narrow"/>
          <w:b/>
          <w:sz w:val="24"/>
          <w:szCs w:val="24"/>
        </w:rPr>
        <w:t>18</w:t>
      </w:r>
      <w:r w:rsidR="005E686F" w:rsidRPr="009E5E87">
        <w:rPr>
          <w:rFonts w:ascii="Arial Narrow" w:hAnsi="Arial Narrow"/>
          <w:b/>
          <w:sz w:val="24"/>
          <w:szCs w:val="24"/>
        </w:rPr>
        <w:t>.06.2026r.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Pr="00683F27">
        <w:rPr>
          <w:rFonts w:ascii="Arial Narrow" w:hAnsi="Arial Narrow"/>
          <w:sz w:val="24"/>
          <w:szCs w:val="24"/>
        </w:rPr>
        <w:t xml:space="preserve">przy ul. </w:t>
      </w:r>
      <w:r w:rsidR="00B426B3">
        <w:rPr>
          <w:rFonts w:ascii="Arial Narrow" w:hAnsi="Arial Narrow"/>
          <w:sz w:val="24"/>
          <w:szCs w:val="24"/>
        </w:rPr>
        <w:t>Marii Orwid 11, 30-688 Kraków, salk</w:t>
      </w:r>
      <w:r w:rsidR="00D50E35">
        <w:rPr>
          <w:rFonts w:ascii="Arial Narrow" w:hAnsi="Arial Narrow"/>
          <w:sz w:val="24"/>
          <w:szCs w:val="24"/>
        </w:rPr>
        <w:t>i</w:t>
      </w:r>
      <w:r w:rsidR="00B426B3">
        <w:rPr>
          <w:rFonts w:ascii="Arial Narrow" w:hAnsi="Arial Narrow"/>
          <w:sz w:val="24"/>
          <w:szCs w:val="24"/>
        </w:rPr>
        <w:t xml:space="preserve"> konferencyjne parter.</w:t>
      </w:r>
      <w:r w:rsidRPr="00683F27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E1C6947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D77F42A" w14:textId="77777777" w:rsidTr="00616223">
        <w:tc>
          <w:tcPr>
            <w:tcW w:w="567" w:type="dxa"/>
            <w:vAlign w:val="center"/>
          </w:tcPr>
          <w:p w14:paraId="40077CA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7A46D2A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53E98C7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77777777" w:rsidR="00641F93" w:rsidRPr="00971258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9C2B797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20E6EEEC" w14:textId="77777777" w:rsidR="00641F93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03DB6B80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min-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b-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7777777" w:rsidR="00510A26" w:rsidRPr="005E68A1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41ACEA88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FD4EB4">
        <w:rPr>
          <w:rFonts w:ascii="Arial Narrow" w:hAnsi="Arial Narrow" w:cs="Tahoma"/>
          <w:b/>
          <w:sz w:val="24"/>
          <w:szCs w:val="24"/>
        </w:rPr>
        <w:t>.</w:t>
      </w:r>
      <w:r w:rsidR="00FD4EB4" w:rsidRPr="00D77EBB">
        <w:rPr>
          <w:rFonts w:ascii="Arial Narrow" w:hAnsi="Arial Narrow" w:cs="Tahoma"/>
          <w:sz w:val="24"/>
          <w:szCs w:val="24"/>
        </w:rPr>
        <w:t>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6E9E7A6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5E686F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890EF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0A096BF6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267F6DA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91B9CB4" w14:textId="77777777" w:rsidR="001F675D" w:rsidRPr="00715E96" w:rsidRDefault="001F675D" w:rsidP="001F675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15E96"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14:paraId="43577856" w14:textId="77777777" w:rsidR="001F675D" w:rsidRPr="00715E96" w:rsidRDefault="001F675D" w:rsidP="001F675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410A96" w14:textId="5FF1C085" w:rsidR="00641F93" w:rsidRPr="005E68A1" w:rsidRDefault="001F675D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715E96">
        <w:rPr>
          <w:rFonts w:ascii="Garamond" w:hAnsi="Garamond"/>
          <w:color w:val="000000"/>
          <w:sz w:val="24"/>
          <w:szCs w:val="24"/>
        </w:rPr>
        <w:t xml:space="preserve">22. </w:t>
      </w:r>
      <w:r w:rsidRPr="00715E96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 i terminu rozstrzygnięcia konkursu.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4B769C70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38AD4BF8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299E06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182904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3AA0301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5873857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1F675D">
        <w:rPr>
          <w:rFonts w:ascii="Arial Narrow" w:hAnsi="Arial Narrow"/>
          <w:b/>
          <w:sz w:val="24"/>
          <w:szCs w:val="24"/>
        </w:rPr>
        <w:t>Marii Orwid 11, 30-688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441D43B7" w:rsidR="00641F93" w:rsidRPr="00971258" w:rsidRDefault="00FD4EB4" w:rsidP="00FD4EB4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71FD1BE5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5930E51D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05122881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24A89596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27F6239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1BE810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1065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127"/>
        <w:gridCol w:w="1134"/>
        <w:gridCol w:w="18"/>
        <w:gridCol w:w="1265"/>
        <w:gridCol w:w="1985"/>
        <w:gridCol w:w="19"/>
      </w:tblGrid>
      <w:tr w:rsidR="00A964CC" w:rsidRPr="005E68A1" w14:paraId="448264AE" w14:textId="77777777" w:rsidTr="00035F3F">
        <w:trPr>
          <w:gridAfter w:val="1"/>
          <w:wAfter w:w="19" w:type="dxa"/>
          <w:trHeight w:val="822"/>
          <w:jc w:val="center"/>
        </w:trPr>
        <w:tc>
          <w:tcPr>
            <w:tcW w:w="704" w:type="dxa"/>
            <w:vAlign w:val="center"/>
          </w:tcPr>
          <w:p w14:paraId="0B46A426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402" w:type="dxa"/>
            <w:vAlign w:val="center"/>
            <w:hideMark/>
          </w:tcPr>
          <w:p w14:paraId="30140D4A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2127" w:type="dxa"/>
            <w:vAlign w:val="center"/>
            <w:hideMark/>
          </w:tcPr>
          <w:p w14:paraId="0C4E8E4D" w14:textId="77777777" w:rsidR="00A964CC" w:rsidRPr="005E68A1" w:rsidRDefault="00A964CC" w:rsidP="00B51B52">
            <w:pPr>
              <w:ind w:left="-32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Szacunkowa  ilość zlecanych badań </w:t>
            </w:r>
          </w:p>
        </w:tc>
        <w:tc>
          <w:tcPr>
            <w:tcW w:w="1134" w:type="dxa"/>
            <w:vAlign w:val="center"/>
            <w:hideMark/>
          </w:tcPr>
          <w:p w14:paraId="3CB5DF36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83" w:type="dxa"/>
            <w:gridSpan w:val="2"/>
            <w:vAlign w:val="center"/>
          </w:tcPr>
          <w:p w14:paraId="28410026" w14:textId="77777777" w:rsidR="00A964CC" w:rsidRPr="005E68A1" w:rsidRDefault="00A964CC" w:rsidP="00B51B52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1985" w:type="dxa"/>
            <w:vAlign w:val="center"/>
          </w:tcPr>
          <w:p w14:paraId="60AF6A00" w14:textId="77777777" w:rsidR="00A964CC" w:rsidRPr="005E68A1" w:rsidRDefault="00A964CC" w:rsidP="00B51B5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FB06E2" w:rsidRPr="005E68A1" w14:paraId="2D4B6460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95D4984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DA32C7" w14:textId="4256C0B4" w:rsidR="00FB06E2" w:rsidRPr="00772D2C" w:rsidRDefault="00FB06E2" w:rsidP="00FB06E2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Aminokwasy metodą LC MS/MS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DAF6BA" w14:textId="5A2B62E2" w:rsidR="00FB06E2" w:rsidRPr="00AA3644" w:rsidDel="003A40A1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1E380FE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7C775BF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9FD163F" w14:textId="4D7D601A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2526CB4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056898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E69A91" w14:textId="53CF1B6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Aminy katecholowe w moczu – końcowe metabolity (VMA,HVA) i 5-HIAA - dorośli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3C4920D" w14:textId="5DDCA3C7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5723F3B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94951AE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CF3B68" w14:textId="7483FD6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05873B4B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C51ACCC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5F02EC" w14:textId="661E6EBF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Aminy katecholowe w moczu – metoksypochodne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FFF865" w14:textId="069E53A2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75E8FA4D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5D7645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3314DED" w14:textId="02FB2C45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48461E7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FFA569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D85DA8" w14:textId="701A0246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delecji w genie PAH techniką 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8DD377" w14:textId="378919B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FF6697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B3940B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748CB1" w14:textId="21ACEFE8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2E02BAD0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50BB5F7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508C6F" w14:textId="79B94773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zespołów Beckwith-Wiederman oraz Russel-Silver techniką MLPA/msMLPA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287802" w14:textId="53F705EE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990BDF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0D49361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26EA98" w14:textId="46AB5EB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51624F4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9C57F20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AAC5FD" w14:textId="247F829F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zespołu diGeorge’a techniką 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7A732B" w14:textId="4AC2CA61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6A126EA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F5EC73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0E15AC" w14:textId="2DDAC30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570BC9F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38786C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4A0DB5" w14:textId="59D1B304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Badanie mutacji w genie GATA1 (sekwencjonowanie eksonów 2,3,4)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FC9FEF" w14:textId="5CCD9557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690831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101FF71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4B17614" w14:textId="55E7123B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FB06E2" w:rsidRPr="005E68A1" w14:paraId="67AC2F2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A50B7F6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AE5C65" w14:textId="32DED551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Chlorki w pocie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1B4445" w14:textId="29AA514E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6A16B9A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4DDD494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30E41E" w14:textId="05FDDEC1" w:rsidR="00FB06E2" w:rsidRPr="00D64C77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FB06E2" w:rsidRPr="005E68A1" w14:paraId="636418D1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3991C3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9</w:t>
            </w:r>
          </w:p>
          <w:p w14:paraId="33DB72C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4CEC9C9" w14:textId="62FB7B63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Fenyloketonurii – I etap diagnostyki (eksony 5 oraz 11-12 genu PAH)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1FCBCF" w14:textId="64B9822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ADA88F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CC5FBA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253C974" w14:textId="3BC39977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4B87247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218F42E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5C428E" w14:textId="59E34F0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Fenyloketonurii – II etap diagnostyki (eksony 1-4 oraz 6-10, 13 genu PAH)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72241F" w14:textId="005AE555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DE0674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4E689C6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B404440" w14:textId="3A1CAD0B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10C153C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A8FB61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4857CF" w14:textId="314E32FA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Smith-Lemli-Optiz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5D6B6D" w14:textId="2006659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AEF1C86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226181F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A783621" w14:textId="3074BB69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1375B06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3B8A1B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14:paraId="3D208C79" w14:textId="291FECC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Diagnostyka zespołu Noonan – etap I diagnostyki</w:t>
            </w:r>
          </w:p>
        </w:tc>
        <w:tc>
          <w:tcPr>
            <w:tcW w:w="2127" w:type="dxa"/>
            <w:vAlign w:val="center"/>
          </w:tcPr>
          <w:p w14:paraId="24B9D121" w14:textId="48CA9E46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798AA4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6C9C7C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01F08B" w14:textId="2026CE6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06AEE29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FD4A3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14:paraId="24140D6C" w14:textId="0BCA1420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Diagnostyka zespołu Noonan – etap II diagnostyki</w:t>
            </w:r>
          </w:p>
        </w:tc>
        <w:tc>
          <w:tcPr>
            <w:tcW w:w="2127" w:type="dxa"/>
            <w:vAlign w:val="center"/>
          </w:tcPr>
          <w:p w14:paraId="3053B6FC" w14:textId="6272D202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69FB7B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857BCFA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F97FF7" w14:textId="69EF9461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509AED8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E37E670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14:paraId="4190553E" w14:textId="15E15B10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Dobór dawca-biorca do przeszczepu</w:t>
            </w:r>
          </w:p>
        </w:tc>
        <w:tc>
          <w:tcPr>
            <w:tcW w:w="2127" w:type="dxa"/>
            <w:vAlign w:val="center"/>
          </w:tcPr>
          <w:p w14:paraId="5922FD6B" w14:textId="016F3C4C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2E60E02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584937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1AC8EC" w14:textId="2368EE0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 dzień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</w:t>
            </w:r>
          </w:p>
        </w:tc>
      </w:tr>
      <w:tr w:rsidR="00FB06E2" w:rsidRPr="005E68A1" w14:paraId="0DCCEF0E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296840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14:paraId="43538DF5" w14:textId="0B8041CA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Dobór dawca-biorca do przeszczepu 1/2</w:t>
            </w:r>
          </w:p>
        </w:tc>
        <w:tc>
          <w:tcPr>
            <w:tcW w:w="2127" w:type="dxa"/>
            <w:vAlign w:val="center"/>
          </w:tcPr>
          <w:p w14:paraId="7779B72F" w14:textId="526886AF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375755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C2380C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0FCA34" w14:textId="0F03D4C9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dzień roboczy</w:t>
            </w:r>
          </w:p>
        </w:tc>
      </w:tr>
      <w:tr w:rsidR="00FB06E2" w:rsidRPr="005E68A1" w14:paraId="6A01BBC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9FBAE7A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  <w:vAlign w:val="center"/>
          </w:tcPr>
          <w:p w14:paraId="17612F40" w14:textId="755600DE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Ekspresja receptora dla IFN-gamma</w:t>
            </w:r>
          </w:p>
        </w:tc>
        <w:tc>
          <w:tcPr>
            <w:tcW w:w="2127" w:type="dxa"/>
            <w:vAlign w:val="center"/>
          </w:tcPr>
          <w:p w14:paraId="065E752F" w14:textId="7F6C4765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0C231C3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4FBEDB0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DA6FDA" w14:textId="77FBEC8B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2 dni robocze</w:t>
            </w:r>
          </w:p>
        </w:tc>
      </w:tr>
      <w:tr w:rsidR="00FB06E2" w:rsidRPr="005E68A1" w14:paraId="65B8D8E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F8DF3B2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14:paraId="63CAE029" w14:textId="1A72BA8D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Identyfikacja p/cial anty HLA klasy I i II (test przesiewowy dla jednej osoby)</w:t>
            </w:r>
          </w:p>
        </w:tc>
        <w:tc>
          <w:tcPr>
            <w:tcW w:w="2127" w:type="dxa"/>
            <w:vAlign w:val="center"/>
          </w:tcPr>
          <w:p w14:paraId="79065F54" w14:textId="768BD32A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048422F0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C3D09C2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AC36A3" w14:textId="530F2B43" w:rsidR="00FB06E2" w:rsidRPr="00701E7D" w:rsidRDefault="00E5277A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B06E2" w:rsidRPr="00701E7D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C274B7" w:rsidRPr="005E68A1" w14:paraId="0C7FB36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F6670B4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14:paraId="17FEB895" w14:textId="7B5FE3A0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Ocena lityczności p.ciał anty HLA klasy I (wiązanie cq1) po uzgodnieniu z pracownią</w:t>
            </w:r>
          </w:p>
        </w:tc>
        <w:tc>
          <w:tcPr>
            <w:tcW w:w="2127" w:type="dxa"/>
            <w:vAlign w:val="center"/>
          </w:tcPr>
          <w:p w14:paraId="21FBE41A" w14:textId="27A6F461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76A873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CD25E0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6D7DCC" w14:textId="07FB89ED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C274B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 xml:space="preserve">dni </w:t>
            </w:r>
            <w:r w:rsidR="00C274B7">
              <w:rPr>
                <w:rFonts w:ascii="Arial Narrow" w:hAnsi="Arial Narrow"/>
                <w:sz w:val="24"/>
                <w:szCs w:val="24"/>
              </w:rPr>
              <w:t>r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oboczych</w:t>
            </w:r>
          </w:p>
        </w:tc>
      </w:tr>
      <w:tr w:rsidR="00C274B7" w:rsidRPr="005E68A1" w14:paraId="5C3504C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A1179E4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14:paraId="2B7DD7A7" w14:textId="3DF8584A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Ocena lityczności p.ciał anty HLA klasy II (wiązanie cq1) po uzgodnieniu z pracownią</w:t>
            </w:r>
          </w:p>
        </w:tc>
        <w:tc>
          <w:tcPr>
            <w:tcW w:w="2127" w:type="dxa"/>
            <w:vAlign w:val="center"/>
          </w:tcPr>
          <w:p w14:paraId="15C6E183" w14:textId="22B5F360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9C608C7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D4B77E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42FEC8" w14:textId="543ABC26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 xml:space="preserve">dni </w:t>
            </w:r>
            <w:r w:rsidR="00C274B7">
              <w:rPr>
                <w:rFonts w:ascii="Arial Narrow" w:hAnsi="Arial Narrow"/>
                <w:sz w:val="24"/>
                <w:szCs w:val="24"/>
              </w:rPr>
              <w:t>r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oboczych</w:t>
            </w:r>
          </w:p>
        </w:tc>
      </w:tr>
      <w:tr w:rsidR="00C274B7" w:rsidRPr="005E68A1" w14:paraId="538168C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90593D1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14:paraId="6604C258" w14:textId="516B2B8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Oznaczenie specyficzności p.ciał anty HLA klasy I (dla jednej osoby, metodą fluorymetrii przepływowej)</w:t>
            </w:r>
          </w:p>
        </w:tc>
        <w:tc>
          <w:tcPr>
            <w:tcW w:w="2127" w:type="dxa"/>
            <w:vAlign w:val="center"/>
          </w:tcPr>
          <w:p w14:paraId="5FA088E7" w14:textId="39C315F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CB0E51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950FDF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2BD46E" w14:textId="77BDA076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C274B7" w:rsidRPr="005E68A1" w14:paraId="7E01E6D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69DC548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A621F8" w14:textId="433CEBB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Oznaczenie specyficzności p.ciał anty HLA klasy II (dla jednej osoby, metodą fluorymetrii przepływowej)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71CD28" w14:textId="229C87EC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5DD85BDC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048E91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227C29" w14:textId="622CA595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74B7" w:rsidRPr="00701E7D"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C274B7" w:rsidRPr="005E68A1" w14:paraId="217CC79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A01BDEB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DFA4EF" w14:textId="560411A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 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1C72004" w14:textId="07E28518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F24265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8DF151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13821FD" w14:textId="1818ABCF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58CF4F3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B00EBA7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5D47AC" w14:textId="03856121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II 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9381CC" w14:textId="2F268BD0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BE77A19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A440F2F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0772E4" w14:textId="74CE751D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2729BC9F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1E1E1D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75F60F" w14:textId="15403137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 i II–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6D67C6" w14:textId="6F772B32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A331E5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61F38AF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CE65F2" w14:textId="49C11FFD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4BDA3AD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735F316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BB45DE" w14:textId="60FC99F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743C4E" w14:textId="6F525D42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83A29F7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A68DA5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8C63B7" w14:textId="45D09F64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C274B7" w:rsidRPr="005E68A1" w14:paraId="09BE38A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E1068BB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8E95DE" w14:textId="22E388F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HLA-ABC, DR DQ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7182783" w14:textId="0F403FFC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04B0997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5FC520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BE2E028" w14:textId="2EE3523B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6CAED1E4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190E5AA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C79A08" w14:textId="147770A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HLA-ABC, DR DQ DP niska rozdzielczość (metoda SSOP)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6CCE45" w14:textId="7BABA4F4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B31EAB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506F49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E1BA25" w14:textId="02E418A2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6771E096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9B6F75E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3C750A" w14:textId="3A54DCF9" w:rsidR="00C274B7" w:rsidRPr="00772D2C" w:rsidRDefault="00C274B7" w:rsidP="00C274B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HLA-ABDR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62DAB2" w14:textId="087B864C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106CC53E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7D7A88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769F892" w14:textId="05DBB9C4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749B70A6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6C1DBBF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17EE87" w14:textId="48A65293" w:rsidR="00C274B7" w:rsidRPr="00772D2C" w:rsidRDefault="00C274B7" w:rsidP="00C274B7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 B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267719" w14:textId="562182D7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1B3F3E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FA13F5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078C3B" w14:textId="5EA54619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37C65FD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A3D798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14:paraId="736B2499" w14:textId="10C08E89" w:rsidR="00C274B7" w:rsidRPr="00772D2C" w:rsidRDefault="00C274B7" w:rsidP="00C274B7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 C</w:t>
            </w:r>
          </w:p>
        </w:tc>
        <w:tc>
          <w:tcPr>
            <w:tcW w:w="2127" w:type="dxa"/>
            <w:vAlign w:val="center"/>
          </w:tcPr>
          <w:p w14:paraId="70680082" w14:textId="78C89468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0E8700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01F105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2C3ACBB" w14:textId="41F25783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1548C0C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056C59E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center"/>
          </w:tcPr>
          <w:p w14:paraId="2BE81F6F" w14:textId="3D817926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HLA-DP</w:t>
            </w:r>
          </w:p>
        </w:tc>
        <w:tc>
          <w:tcPr>
            <w:tcW w:w="2127" w:type="dxa"/>
            <w:vAlign w:val="center"/>
          </w:tcPr>
          <w:p w14:paraId="030AA16C" w14:textId="1B5D91F4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9DF5346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78A704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017DED" w14:textId="6FB4FE2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6B472B7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3190177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center"/>
          </w:tcPr>
          <w:p w14:paraId="115A0448" w14:textId="309153DC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HLA-DQ</w:t>
            </w:r>
          </w:p>
        </w:tc>
        <w:tc>
          <w:tcPr>
            <w:tcW w:w="2127" w:type="dxa"/>
            <w:vAlign w:val="center"/>
          </w:tcPr>
          <w:p w14:paraId="4562EDA9" w14:textId="1026FC68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F444C60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A32F2DC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9BE905" w14:textId="42ADE478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66D6631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5BA5D0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center"/>
          </w:tcPr>
          <w:p w14:paraId="6AF4E2EB" w14:textId="182D1E26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HLA-DR</w:t>
            </w:r>
          </w:p>
        </w:tc>
        <w:tc>
          <w:tcPr>
            <w:tcW w:w="2127" w:type="dxa"/>
            <w:vAlign w:val="center"/>
          </w:tcPr>
          <w:p w14:paraId="4FB240B7" w14:textId="5ED6AF7F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469835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EDFCEA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0701A1" w14:textId="6D178F0C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1515503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9A44EE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center"/>
          </w:tcPr>
          <w:p w14:paraId="3F7312A9" w14:textId="1154C098" w:rsidR="00C274B7" w:rsidRPr="00772D2C" w:rsidRDefault="00C274B7" w:rsidP="00772D2C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Kortyzol w moczu (KOM)</w:t>
            </w:r>
          </w:p>
        </w:tc>
        <w:tc>
          <w:tcPr>
            <w:tcW w:w="2127" w:type="dxa"/>
            <w:vAlign w:val="center"/>
          </w:tcPr>
          <w:p w14:paraId="3C9FC013" w14:textId="7B6D522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14:paraId="57987B3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FBB8616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13A7B3" w14:textId="2BF547DC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C274B7" w:rsidRPr="005E68A1" w14:paraId="22BCA99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DB37E8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center"/>
          </w:tcPr>
          <w:p w14:paraId="1A093F55" w14:textId="4D92A455" w:rsidR="00C274B7" w:rsidRPr="00772D2C" w:rsidRDefault="00C274B7" w:rsidP="00035F3F">
            <w:pPr>
              <w:ind w:left="42"/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 xml:space="preserve">Odpowiedź limfocytów na </w:t>
            </w:r>
            <w:r w:rsidR="00772D2C">
              <w:rPr>
                <w:rFonts w:ascii="Garamond" w:hAnsi="Garamond"/>
                <w:sz w:val="24"/>
                <w:szCs w:val="24"/>
              </w:rPr>
              <w:t xml:space="preserve">  </w:t>
            </w:r>
            <w:r w:rsidRPr="00772D2C">
              <w:rPr>
                <w:rFonts w:ascii="Garamond" w:hAnsi="Garamond"/>
                <w:sz w:val="24"/>
                <w:szCs w:val="24"/>
              </w:rPr>
              <w:t>antygeny (Candida, PPD)</w:t>
            </w:r>
          </w:p>
        </w:tc>
        <w:tc>
          <w:tcPr>
            <w:tcW w:w="2127" w:type="dxa"/>
            <w:vAlign w:val="center"/>
          </w:tcPr>
          <w:p w14:paraId="6FCF6E54" w14:textId="6DB60E2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3C86D2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B11171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B07D1E" w14:textId="7C499919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33968414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AC3AAFA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14:paraId="7F830279" w14:textId="5D538FD7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Odpowiedź limfocytów na mitogeny (PHA, CD3, PWM)</w:t>
            </w:r>
          </w:p>
        </w:tc>
        <w:tc>
          <w:tcPr>
            <w:tcW w:w="2127" w:type="dxa"/>
            <w:vAlign w:val="center"/>
          </w:tcPr>
          <w:p w14:paraId="6002CB00" w14:textId="69C202D8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632A05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F3DB4D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4FA5C0" w14:textId="52F40D35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0F2ED4A3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055B820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center"/>
          </w:tcPr>
          <w:p w14:paraId="63857AB1" w14:textId="261512F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Próba krzyżowa na pełnej populacji limfocytów T i B oraz na limfocytach B (CDC, met. Serologiczna)</w:t>
            </w:r>
          </w:p>
        </w:tc>
        <w:tc>
          <w:tcPr>
            <w:tcW w:w="2127" w:type="dxa"/>
            <w:vAlign w:val="center"/>
          </w:tcPr>
          <w:p w14:paraId="12C0B4B1" w14:textId="118516BA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5E09C5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4DB0F6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2EB7D33" w14:textId="527DBC7F" w:rsidR="00C274B7" w:rsidRPr="00EC18E9" w:rsidRDefault="00E5277A" w:rsidP="00E5277A">
            <w:pPr>
              <w:ind w:left="539" w:hanging="539"/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</w:t>
            </w:r>
            <w:r w:rsidR="00C274B7">
              <w:rPr>
                <w:rFonts w:ascii="Arial Narrow" w:hAnsi="Arial Narrow"/>
                <w:sz w:val="24"/>
                <w:szCs w:val="24"/>
              </w:rPr>
              <w:t xml:space="preserve"> robocz</w:t>
            </w:r>
            <w:r>
              <w:rPr>
                <w:rFonts w:ascii="Arial Narrow" w:hAnsi="Arial Narrow"/>
                <w:sz w:val="24"/>
                <w:szCs w:val="24"/>
              </w:rPr>
              <w:t>e</w:t>
            </w:r>
          </w:p>
        </w:tc>
      </w:tr>
      <w:tr w:rsidR="00C274B7" w:rsidRPr="005E68A1" w14:paraId="01E04B5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2A03328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02" w:type="dxa"/>
            <w:vAlign w:val="center"/>
          </w:tcPr>
          <w:p w14:paraId="26D73304" w14:textId="22A81710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Próba krzyżowa przed przeszczepem (met.CDC)</w:t>
            </w:r>
          </w:p>
        </w:tc>
        <w:tc>
          <w:tcPr>
            <w:tcW w:w="2127" w:type="dxa"/>
            <w:vAlign w:val="center"/>
          </w:tcPr>
          <w:p w14:paraId="28CCDDBF" w14:textId="25897CD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663B231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9B7D86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F659D0" w14:textId="0CBA6C9E" w:rsidR="00C274B7" w:rsidRPr="00701E7D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robocze</w:t>
            </w:r>
          </w:p>
        </w:tc>
      </w:tr>
      <w:tr w:rsidR="00C274B7" w:rsidRPr="005E68A1" w14:paraId="7350E19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4B72D16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center"/>
          </w:tcPr>
          <w:p w14:paraId="52496EB9" w14:textId="6D23A298" w:rsidR="00C274B7" w:rsidRPr="00772D2C" w:rsidRDefault="00C274B7" w:rsidP="00C274B7">
            <w:pPr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Próba krzyżowa przed przeszczepem (met. Cytometrii przepływowej)</w:t>
            </w:r>
          </w:p>
        </w:tc>
        <w:tc>
          <w:tcPr>
            <w:tcW w:w="2127" w:type="dxa"/>
            <w:vAlign w:val="center"/>
          </w:tcPr>
          <w:p w14:paraId="662995DB" w14:textId="0B219D9A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466ECE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B9BBE99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0EBDB83" w14:textId="66E5A590" w:rsidR="00C274B7" w:rsidRPr="00D64C77" w:rsidRDefault="00E5277A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robocze</w:t>
            </w:r>
            <w:bookmarkStart w:id="0" w:name="_GoBack"/>
            <w:bookmarkEnd w:id="0"/>
          </w:p>
        </w:tc>
      </w:tr>
      <w:tr w:rsidR="00C274B7" w:rsidRPr="005E68A1" w14:paraId="28F548D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0EB561F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14:paraId="5F539071" w14:textId="0F8ED37A" w:rsidR="00C274B7" w:rsidRPr="00772D2C" w:rsidRDefault="00772D2C" w:rsidP="00C274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Przeciwciała - </w:t>
            </w:r>
            <w:r w:rsidR="00C274B7" w:rsidRPr="00772D2C">
              <w:rPr>
                <w:rFonts w:ascii="Arial Narrow" w:hAnsi="Arial Narrow"/>
                <w:sz w:val="24"/>
                <w:szCs w:val="24"/>
              </w:rPr>
              <w:t xml:space="preserve">Ocena poziomu p.ciał p. Sreprococcus pneumoniae </w:t>
            </w:r>
          </w:p>
        </w:tc>
        <w:tc>
          <w:tcPr>
            <w:tcW w:w="2127" w:type="dxa"/>
            <w:vAlign w:val="center"/>
          </w:tcPr>
          <w:p w14:paraId="23D92D33" w14:textId="441AB7EB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5DA7BCE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707507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A70846" w14:textId="500E8491" w:rsidR="00C274B7" w:rsidRPr="00D64C77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2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robocze</w:t>
            </w:r>
          </w:p>
        </w:tc>
      </w:tr>
      <w:tr w:rsidR="00772D2C" w:rsidRPr="005E68A1" w14:paraId="1BEB1F3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4F8FB2F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center"/>
          </w:tcPr>
          <w:p w14:paraId="3EC91D0E" w14:textId="3466999F" w:rsidR="00772D2C" w:rsidRPr="00772D2C" w:rsidRDefault="00772D2C" w:rsidP="00772D2C">
            <w:pPr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Przeciwciała p. komórką beta wysp Langerhansa</w:t>
            </w:r>
          </w:p>
        </w:tc>
        <w:tc>
          <w:tcPr>
            <w:tcW w:w="2127" w:type="dxa"/>
            <w:vAlign w:val="center"/>
          </w:tcPr>
          <w:p w14:paraId="446C79E7" w14:textId="4AD1EF02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108D6844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BE5A7E9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6759C1" w14:textId="72CAF225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772D2C" w:rsidRPr="005E68A1" w14:paraId="7608300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619ACF1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center"/>
          </w:tcPr>
          <w:p w14:paraId="420C6E38" w14:textId="4709103D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Przeciwciała - 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>Anty –IA2 Pool IgG – (autoprzeciwciała przeciw fosfatazie tyrozynowej) - ELISA</w:t>
            </w:r>
          </w:p>
        </w:tc>
        <w:tc>
          <w:tcPr>
            <w:tcW w:w="2127" w:type="dxa"/>
            <w:vAlign w:val="center"/>
          </w:tcPr>
          <w:p w14:paraId="71ED3DEC" w14:textId="70931F1A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356D6FEF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26BFE90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411B2E1" w14:textId="571D117E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772D2C" w:rsidRPr="005E68A1" w14:paraId="6991B663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327C25B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43</w:t>
            </w:r>
          </w:p>
        </w:tc>
        <w:tc>
          <w:tcPr>
            <w:tcW w:w="3402" w:type="dxa"/>
            <w:vAlign w:val="center"/>
          </w:tcPr>
          <w:p w14:paraId="1757E4EB" w14:textId="7737A824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Przeciwciała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 xml:space="preserve"> przeciw insulinie (AIA)</w:t>
            </w:r>
          </w:p>
        </w:tc>
        <w:tc>
          <w:tcPr>
            <w:tcW w:w="2127" w:type="dxa"/>
            <w:vAlign w:val="center"/>
          </w:tcPr>
          <w:p w14:paraId="21F5C644" w14:textId="7CE5C7AD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CC3EFB3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3CF8D6E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7181EA" w14:textId="162A2997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EC18E9">
              <w:rPr>
                <w:rFonts w:ascii="Arial Narrow" w:hAnsi="Arial Narrow"/>
                <w:sz w:val="24"/>
                <w:szCs w:val="24"/>
              </w:rPr>
              <w:t>0 dni roboczych</w:t>
            </w:r>
          </w:p>
        </w:tc>
      </w:tr>
      <w:tr w:rsidR="00772D2C" w:rsidRPr="005E68A1" w14:paraId="5BCD261F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60EDFA4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44</w:t>
            </w:r>
          </w:p>
        </w:tc>
        <w:tc>
          <w:tcPr>
            <w:tcW w:w="3402" w:type="dxa"/>
            <w:vAlign w:val="center"/>
          </w:tcPr>
          <w:p w14:paraId="53A64ABA" w14:textId="2D3A6D35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Przeciwciała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 xml:space="preserve"> przeciw transporterowi cynku 8</w:t>
            </w:r>
          </w:p>
        </w:tc>
        <w:tc>
          <w:tcPr>
            <w:tcW w:w="2127" w:type="dxa"/>
            <w:vAlign w:val="center"/>
          </w:tcPr>
          <w:p w14:paraId="2D8DAB98" w14:textId="00205E7E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EFCC0E2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1806FB3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49F873" w14:textId="74D5ADAF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772D2C" w:rsidRPr="005E68A1" w14:paraId="5C1CFDCA" w14:textId="77777777" w:rsidTr="00035F3F">
        <w:trPr>
          <w:trHeight w:val="285"/>
          <w:jc w:val="center"/>
        </w:trPr>
        <w:tc>
          <w:tcPr>
            <w:tcW w:w="704" w:type="dxa"/>
            <w:vAlign w:val="center"/>
          </w:tcPr>
          <w:p w14:paraId="683C6500" w14:textId="77777777" w:rsid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Align w:val="center"/>
          </w:tcPr>
          <w:p w14:paraId="6FFBA6DC" w14:textId="77777777" w:rsidR="00772D2C" w:rsidRDefault="00772D2C" w:rsidP="00772D2C">
            <w:pPr>
              <w:ind w:left="539" w:hanging="53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Wartość Oferty:</w:t>
            </w:r>
          </w:p>
        </w:tc>
        <w:tc>
          <w:tcPr>
            <w:tcW w:w="3269" w:type="dxa"/>
            <w:gridSpan w:val="3"/>
            <w:vAlign w:val="center"/>
          </w:tcPr>
          <w:p w14:paraId="243D3B69" w14:textId="77777777" w:rsid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0CEF392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6D22BE4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7EA7A4E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5B041603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6CD569E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E80C9F5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3DD09EAF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76481E2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2685E0BF" w14:textId="3C0EBE37" w:rsidR="00641F93" w:rsidRPr="00971258" w:rsidRDefault="00641F93" w:rsidP="00641F93">
      <w:pPr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2"/>
          <w:szCs w:val="22"/>
        </w:rPr>
        <w:br w:type="column"/>
      </w:r>
      <w:r w:rsidR="00507D34">
        <w:rPr>
          <w:rFonts w:ascii="Arial Narrow" w:hAnsi="Arial Narrow"/>
          <w:sz w:val="22"/>
          <w:szCs w:val="22"/>
        </w:rPr>
        <w:lastRenderedPageBreak/>
        <w:tab/>
        <w:t xml:space="preserve"> </w:t>
      </w:r>
      <w:r w:rsidR="00507D34">
        <w:rPr>
          <w:rFonts w:ascii="Arial Narrow" w:hAnsi="Arial Narrow"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  <w:t xml:space="preserve">  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pln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3ADD2DD6" w14:textId="77777777" w:rsidTr="006E7DE3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401A6F2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604102">
              <w:rPr>
                <w:color w:val="000000" w:themeColor="text1"/>
                <w:sz w:val="20"/>
              </w:rPr>
              <w:t>Oferent otrzyma 5 pkt, jeżeli zadeklaruje odbiór badań we własnym zakresie</w:t>
            </w:r>
          </w:p>
        </w:tc>
        <w:tc>
          <w:tcPr>
            <w:tcW w:w="1793" w:type="dxa"/>
            <w:vAlign w:val="center"/>
          </w:tcPr>
          <w:p w14:paraId="47C8717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FB62CAF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05F8B6AA" w14:textId="77777777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7101DB95" w14:textId="77777777" w:rsidR="007B362E" w:rsidRDefault="007B362E" w:rsidP="00F33BEA">
      <w:pPr>
        <w:rPr>
          <w:rFonts w:ascii="Arial Narrow" w:hAnsi="Arial Narrow"/>
          <w:b/>
          <w:sz w:val="24"/>
          <w:szCs w:val="24"/>
        </w:rPr>
        <w:sectPr w:rsidR="007B362E" w:rsidSect="007B362E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  <w:docGrid w:linePitch="272"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7B362E" w:rsidRPr="006963FC" w14:paraId="6A1911A8" w14:textId="77777777" w:rsidTr="00B51B52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6B337C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2C70F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B47F7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4AD70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E924D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7F947A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6FD394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6414A4A3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FCF32F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0A101E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7B362E" w:rsidRPr="006963FC" w14:paraId="6411517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42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BF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30D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7E5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F8C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632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CB9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618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E8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34A39F1A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17F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975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210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9CC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321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C9D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1D8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E2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FC9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63F7A6A2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654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8E3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A98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908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777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09C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C959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FB2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FF9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005C7DE7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74D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035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0DE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DA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E09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98F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07F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E50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03E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6EA40E3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B76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8B8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9E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26A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E26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633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CCC7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CBC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6BB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79B33963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0E3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999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2C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650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7FA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25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A37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703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A3B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5A14A1F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FD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B5D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1B3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1CC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7AD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30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5FB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F7D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0A0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3CCC1084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3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6CE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CF8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A18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9E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920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B0F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24F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8EB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79F97AC2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673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FCA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1C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BFD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AD4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85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F16A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2CC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CBC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54B05CCB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7F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B34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22A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35A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411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999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3E2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473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223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1B7AB98B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C17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FDB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6A7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E8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FE6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ED0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F60A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C7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30D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9CB6CAE" w14:textId="5898096A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1D106470" w14:textId="27BC9C78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55E42802" w14:textId="520AC996" w:rsidR="007B362E" w:rsidRDefault="007B362E" w:rsidP="00422026">
      <w:pPr>
        <w:ind w:left="12036" w:firstLine="70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Załącznik nr 6</w:t>
      </w:r>
    </w:p>
    <w:p w14:paraId="1C8A8DC2" w14:textId="5D833481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41871630" w14:textId="77777777" w:rsidR="007B362E" w:rsidRDefault="007B362E">
      <w:pPr>
        <w:rPr>
          <w:rFonts w:ascii="Arial Narrow" w:hAnsi="Arial Narrow"/>
          <w:b/>
          <w:sz w:val="24"/>
          <w:szCs w:val="24"/>
        </w:rPr>
        <w:sectPr w:rsidR="007B362E" w:rsidSect="007B362E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0ACE8933" w14:textId="77777777" w:rsidR="009E5E87" w:rsidRPr="00D5431B" w:rsidRDefault="009E5E87" w:rsidP="009E5E87">
      <w:pPr>
        <w:spacing w:before="120" w:after="60"/>
        <w:jc w:val="center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lastRenderedPageBreak/>
        <w:t>Klauzula informacyjna Szpitala Uniwersyteckiego w Krakowie</w:t>
      </w:r>
      <w:r w:rsidRPr="00D5431B">
        <w:rPr>
          <w:rFonts w:eastAsiaTheme="minorHAnsi"/>
          <w:b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0722DF0" w14:textId="77777777" w:rsidR="009E5E87" w:rsidRPr="00D5431B" w:rsidRDefault="009E5E87" w:rsidP="009E5E87">
      <w:pPr>
        <w:spacing w:before="120" w:after="60"/>
        <w:jc w:val="center"/>
        <w:rPr>
          <w:rFonts w:eastAsia="Calibri"/>
          <w:lang w:eastAsia="en-US"/>
        </w:rPr>
      </w:pPr>
    </w:p>
    <w:p w14:paraId="275923CF" w14:textId="77777777" w:rsidR="009E5E87" w:rsidRPr="00D5431B" w:rsidRDefault="009E5E87" w:rsidP="009E5E87">
      <w:pPr>
        <w:spacing w:after="120"/>
        <w:jc w:val="both"/>
        <w:rPr>
          <w:lang w:eastAsia="en-US"/>
        </w:rPr>
      </w:pPr>
      <w:r w:rsidRPr="00D5431B">
        <w:rPr>
          <w:rFonts w:eastAsiaTheme="minorHAns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1BF8AF3" w14:textId="77777777" w:rsidR="009E5E87" w:rsidRPr="00D5431B" w:rsidRDefault="009E5E87" w:rsidP="009E5E87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Administrator danych osobowych:</w:t>
      </w:r>
    </w:p>
    <w:p w14:paraId="4C426272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lang w:eastAsia="en-US"/>
        </w:rPr>
        <w:t xml:space="preserve">30-688 </w:t>
      </w:r>
      <w:r w:rsidRPr="00D5431B">
        <w:rPr>
          <w:rFonts w:eastAsiaTheme="minorHAnsi"/>
          <w:lang w:eastAsia="en-US"/>
        </w:rPr>
        <w:t xml:space="preserve">Kraków, telefon 12 400 10 00, e-mail: </w:t>
      </w:r>
      <w:hyperlink r:id="rId12" w:history="1">
        <w:r w:rsidRPr="00D5431B">
          <w:rPr>
            <w:rStyle w:val="Hipercze"/>
            <w:rFonts w:eastAsiaTheme="minorHAnsi"/>
            <w:lang w:eastAsia="en-US"/>
          </w:rPr>
          <w:t>info@su.krakow.pl</w:t>
        </w:r>
      </w:hyperlink>
      <w:r w:rsidRPr="00D5431B">
        <w:rPr>
          <w:rFonts w:eastAsiaTheme="minorHAnsi"/>
          <w:lang w:eastAsia="en-US"/>
        </w:rPr>
        <w:t xml:space="preserve">. </w:t>
      </w:r>
    </w:p>
    <w:p w14:paraId="29C784E9" w14:textId="77777777" w:rsidR="009E5E87" w:rsidRPr="00D5431B" w:rsidRDefault="009E5E87" w:rsidP="009E5E87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1" w:name="_Ref231894867"/>
      <w:r w:rsidRPr="00D5431B">
        <w:rPr>
          <w:rStyle w:val="Odwoanieprzypisudolnego"/>
          <w:rFonts w:eastAsiaTheme="minorHAnsi"/>
          <w:i/>
          <w:lang w:eastAsia="en-US"/>
        </w:rPr>
        <w:footnoteReference w:id="1"/>
      </w:r>
      <w:bookmarkEnd w:id="1"/>
    </w:p>
    <w:p w14:paraId="66429BC9" w14:textId="77777777" w:rsidR="009E5E87" w:rsidRPr="00D5431B" w:rsidRDefault="009E5E87" w:rsidP="009E5E87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Inspektor Ochrony Danych:</w:t>
      </w:r>
    </w:p>
    <w:p w14:paraId="245F5041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796861B" w14:textId="77777777" w:rsidR="009E5E87" w:rsidRPr="00D5431B" w:rsidRDefault="009E5E87" w:rsidP="009E5E87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Cele przetwarzania danych osobowych oraz podstawa prawna przetwarzania:</w:t>
      </w:r>
    </w:p>
    <w:p w14:paraId="64A3B85C" w14:textId="77777777" w:rsidR="009E5E87" w:rsidRPr="00D5431B" w:rsidRDefault="009E5E87" w:rsidP="009E5E87">
      <w:pPr>
        <w:pStyle w:val="Akapitzlist"/>
        <w:numPr>
          <w:ilvl w:val="0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może przetwarzać Pani/Pana dane w następujących celach:</w:t>
      </w:r>
    </w:p>
    <w:p w14:paraId="77E499AE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7E89682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50E2BB16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="Calibri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lang w:eastAsia="en-US"/>
        </w:rPr>
        <w:t>podatkowej</w:t>
      </w:r>
      <w:r w:rsidRPr="00D5431B">
        <w:rPr>
          <w:rFonts w:eastAsia="Calibri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lang w:eastAsia="en-US"/>
        </w:rPr>
        <w:t>września 1994 r. o rachunkowości;</w:t>
      </w:r>
    </w:p>
    <w:p w14:paraId="25302E3C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446A7536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31F620C" w14:textId="77777777" w:rsidR="009E5E87" w:rsidRPr="00D5431B" w:rsidRDefault="009E5E87" w:rsidP="009E5E87">
      <w:pPr>
        <w:numPr>
          <w:ilvl w:val="0"/>
          <w:numId w:val="48"/>
        </w:numPr>
        <w:suppressAutoHyphens/>
        <w:spacing w:after="120"/>
        <w:jc w:val="both"/>
        <w:rPr>
          <w:rFonts w:eastAsia="Calibri"/>
          <w:i/>
          <w:lang w:eastAsia="en-US"/>
        </w:rPr>
      </w:pPr>
      <w:r w:rsidRPr="00D5431B">
        <w:rPr>
          <w:rFonts w:eastAsia="Calibri"/>
          <w:i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lang w:eastAsia="en-US"/>
        </w:rPr>
        <w:fldChar w:fldCharType="begin"/>
      </w:r>
      <w:r w:rsidRPr="00D5431B">
        <w:rPr>
          <w:rFonts w:eastAsia="Calibri"/>
          <w:i/>
          <w:lang w:eastAsia="en-US"/>
        </w:rPr>
        <w:instrText xml:space="preserve"> NOTEREF _Ref231894867 \h </w:instrText>
      </w:r>
      <w:r w:rsidRPr="00D5431B">
        <w:rPr>
          <w:rFonts w:eastAsia="Calibri"/>
          <w:i/>
          <w:lang w:eastAsia="en-US"/>
        </w:rPr>
      </w:r>
      <w:r w:rsidRPr="00D5431B">
        <w:rPr>
          <w:rFonts w:eastAsia="Calibri"/>
          <w:i/>
          <w:lang w:eastAsia="en-US"/>
        </w:rPr>
        <w:fldChar w:fldCharType="separate"/>
      </w:r>
      <w:r w:rsidRPr="00D5431B">
        <w:rPr>
          <w:rFonts w:eastAsia="Calibri"/>
          <w:i/>
          <w:lang w:eastAsia="en-US"/>
        </w:rPr>
        <w:t>*</w:t>
      </w:r>
      <w:r w:rsidRPr="00D5431B">
        <w:rPr>
          <w:rFonts w:eastAsia="Calibri"/>
          <w:i/>
          <w:lang w:eastAsia="en-US"/>
        </w:rPr>
        <w:fldChar w:fldCharType="end"/>
      </w:r>
    </w:p>
    <w:p w14:paraId="26014080" w14:textId="77777777" w:rsidR="009E5E87" w:rsidRPr="00D5431B" w:rsidRDefault="009E5E87" w:rsidP="009E5E87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Źródło pochodzenia danych osobowych</w:t>
      </w:r>
    </w:p>
    <w:p w14:paraId="191435AF" w14:textId="77777777" w:rsidR="009E5E87" w:rsidRPr="00D5431B" w:rsidRDefault="009E5E87" w:rsidP="009E5E87">
      <w:p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uzyskał Pani/Pana dane osobowe:</w:t>
      </w:r>
    </w:p>
    <w:p w14:paraId="375C437B" w14:textId="77777777" w:rsidR="009E5E87" w:rsidRPr="00D5431B" w:rsidRDefault="009E5E87" w:rsidP="009E5E87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9959568" w14:textId="77777777" w:rsidR="009E5E87" w:rsidRPr="00D5431B" w:rsidRDefault="009E5E87" w:rsidP="009E5E87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A919AD0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Informacje o kategoriach odbiorców danych osobowych:</w:t>
      </w:r>
    </w:p>
    <w:p w14:paraId="2EECE3D9" w14:textId="77777777" w:rsidR="009E5E87" w:rsidRPr="00D5431B" w:rsidRDefault="009E5E87" w:rsidP="009E5E87">
      <w:pPr>
        <w:numPr>
          <w:ilvl w:val="0"/>
          <w:numId w:val="49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Pani/Pana dane </w:t>
      </w:r>
      <w:r w:rsidRPr="00D5431B">
        <w:rPr>
          <w:rFonts w:eastAsia="Calibri"/>
          <w:lang w:eastAsia="en-US"/>
        </w:rPr>
        <w:t>osobowe</w:t>
      </w:r>
      <w:r w:rsidRPr="00D5431B">
        <w:rPr>
          <w:rFonts w:eastAsiaTheme="minorHAnsi"/>
          <w:lang w:eastAsia="en-US"/>
        </w:rPr>
        <w:t xml:space="preserve"> mogą zostać ujawnione:</w:t>
      </w:r>
    </w:p>
    <w:p w14:paraId="50EDBDD8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pracownikom i współpracownikom Szpitala upoważnionym do przetwarzania danych osobowych w związku z wykonywaniem obowiązków służbowych;</w:t>
      </w:r>
    </w:p>
    <w:p w14:paraId="4B98E248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2DC3B1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podmiotom uprawnionym na podstawie przepisów prawa.</w:t>
      </w:r>
    </w:p>
    <w:p w14:paraId="4DB9277B" w14:textId="77777777" w:rsidR="009E5E87" w:rsidRPr="00D5431B" w:rsidRDefault="009E5E87" w:rsidP="009E5E87">
      <w:pPr>
        <w:numPr>
          <w:ilvl w:val="0"/>
          <w:numId w:val="49"/>
        </w:numPr>
        <w:suppressAutoHyphens/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="Calibri"/>
          <w:i/>
          <w:lang w:eastAsia="en-US"/>
        </w:rPr>
        <w:t xml:space="preserve">W przypadku wskazanym </w:t>
      </w:r>
      <w:r w:rsidRPr="00D5431B">
        <w:rPr>
          <w:rFonts w:eastAsiaTheme="minorHAnsi"/>
          <w:i/>
          <w:lang w:eastAsia="en-US"/>
        </w:rPr>
        <w:t>w pkt. 3b) niniejszej Klauzuli:</w:t>
      </w:r>
    </w:p>
    <w:p w14:paraId="532C6CC7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i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lang w:eastAsia="en-US"/>
        </w:rPr>
        <w:t xml:space="preserve">jest </w:t>
      </w:r>
      <w:r w:rsidRPr="00D5431B">
        <w:rPr>
          <w:rFonts w:eastAsiaTheme="minorHAnsi"/>
          <w:i/>
        </w:rPr>
        <w:t>Minister Finansów,</w:t>
      </w:r>
      <w:r w:rsidRPr="00D5431B">
        <w:rPr>
          <w:i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lang w:eastAsia="en-US"/>
        </w:rPr>
        <w:t xml:space="preserve"> o finansach publicznych,</w:t>
      </w:r>
    </w:p>
    <w:p w14:paraId="6A55F8FD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i/>
          <w:shd w:val="clear" w:color="auto" w:fill="FFFFFF"/>
        </w:rPr>
      </w:pPr>
      <w:r w:rsidRPr="00D5431B">
        <w:rPr>
          <w:i/>
          <w:shd w:val="clear" w:color="auto" w:fill="FFFFFF"/>
        </w:rPr>
        <w:t>Centralny Rejestr Um</w:t>
      </w:r>
      <w:r w:rsidRPr="00D5431B">
        <w:rPr>
          <w:rFonts w:hint="eastAsia"/>
          <w:i/>
          <w:shd w:val="clear" w:color="auto" w:fill="FFFFFF"/>
        </w:rPr>
        <w:t>ó</w:t>
      </w:r>
      <w:r w:rsidRPr="00D5431B">
        <w:rPr>
          <w:i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d</w:t>
      </w:r>
      <w:r w:rsidRPr="00D5431B">
        <w:rPr>
          <w:rFonts w:hint="eastAsia"/>
          <w:i/>
          <w:shd w:val="clear" w:color="auto" w:fill="FFFFFF"/>
        </w:rPr>
        <w:t>ą</w:t>
      </w:r>
      <w:r w:rsidRPr="00D5431B">
        <w:rPr>
          <w:i/>
          <w:shd w:val="clear" w:color="auto" w:fill="FFFFFF"/>
        </w:rPr>
        <w:t xml:space="preserve"> powszechnie dost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pne.</w:t>
      </w:r>
      <w:r w:rsidRPr="00D5431B">
        <w:rPr>
          <w:i/>
          <w:shd w:val="clear" w:color="auto" w:fill="FFFFFF"/>
        </w:rPr>
        <w:fldChar w:fldCharType="begin"/>
      </w:r>
      <w:r w:rsidRPr="00D5431B">
        <w:rPr>
          <w:i/>
          <w:shd w:val="clear" w:color="auto" w:fill="FFFFFF"/>
        </w:rPr>
        <w:instrText xml:space="preserve"> NOTEREF _Ref231894867 \h </w:instrText>
      </w:r>
      <w:r w:rsidRPr="00D5431B">
        <w:rPr>
          <w:i/>
          <w:shd w:val="clear" w:color="auto" w:fill="FFFFFF"/>
        </w:rPr>
      </w:r>
      <w:r w:rsidRPr="00D5431B">
        <w:rPr>
          <w:i/>
          <w:shd w:val="clear" w:color="auto" w:fill="FFFFFF"/>
        </w:rPr>
        <w:fldChar w:fldCharType="separate"/>
      </w:r>
      <w:r w:rsidRPr="00D5431B">
        <w:rPr>
          <w:i/>
          <w:shd w:val="clear" w:color="auto" w:fill="FFFFFF"/>
        </w:rPr>
        <w:t>*</w:t>
      </w:r>
      <w:r w:rsidRPr="00D5431B">
        <w:rPr>
          <w:i/>
          <w:shd w:val="clear" w:color="auto" w:fill="FFFFFF"/>
        </w:rPr>
        <w:fldChar w:fldCharType="end"/>
      </w:r>
    </w:p>
    <w:p w14:paraId="7F3DF4EC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Przekazywanie danych osobowych do państwa trzeciego lub organizacji międzynarodowej:</w:t>
      </w:r>
    </w:p>
    <w:p w14:paraId="06E9FAF9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4DD209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Okres, przez który dane osobowe będą przechowywane:</w:t>
      </w:r>
    </w:p>
    <w:p w14:paraId="197F8A39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CE67636" w14:textId="77777777" w:rsidR="009E5E87" w:rsidRPr="00D5431B" w:rsidRDefault="009E5E87" w:rsidP="009E5E87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hd w:val="clear" w:color="auto" w:fill="FFFFFF"/>
        </w:rPr>
        <w:t>zgodnie z art. 34b ust. 6 ustawy</w:t>
      </w:r>
      <w:r w:rsidRPr="00D5431B">
        <w:rPr>
          <w:rFonts w:eastAsia="Calibri"/>
          <w:i/>
          <w:lang w:eastAsia="en-US"/>
        </w:rPr>
        <w:t xml:space="preserve"> o finansach publicznych</w:t>
      </w:r>
      <w:r w:rsidRPr="00D5431B">
        <w:rPr>
          <w:rFonts w:eastAsiaTheme="minorHAnsi"/>
          <w:i/>
          <w:lang w:eastAsia="en-US"/>
        </w:rPr>
        <w:t>.</w:t>
      </w:r>
      <w:r w:rsidRPr="00D5431B">
        <w:rPr>
          <w:rFonts w:eastAsiaTheme="minorHAnsi"/>
          <w:i/>
          <w:lang w:eastAsia="en-US"/>
        </w:rPr>
        <w:fldChar w:fldCharType="begin"/>
      </w:r>
      <w:r w:rsidRPr="00D5431B">
        <w:rPr>
          <w:rFonts w:eastAsiaTheme="minorHAnsi"/>
          <w:i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lang w:eastAsia="en-US"/>
        </w:rPr>
      </w:r>
      <w:r w:rsidRPr="00D5431B">
        <w:rPr>
          <w:rFonts w:eastAsiaTheme="minorHAnsi"/>
          <w:i/>
          <w:lang w:eastAsia="en-US"/>
        </w:rPr>
        <w:fldChar w:fldCharType="separate"/>
      </w:r>
      <w:r w:rsidRPr="00D5431B">
        <w:rPr>
          <w:rFonts w:eastAsiaTheme="minorHAnsi"/>
          <w:i/>
          <w:lang w:eastAsia="en-US"/>
        </w:rPr>
        <w:t>*</w:t>
      </w:r>
      <w:r w:rsidRPr="00D5431B">
        <w:rPr>
          <w:rFonts w:eastAsiaTheme="minorHAnsi"/>
          <w:i/>
          <w:lang w:eastAsia="en-US"/>
        </w:rPr>
        <w:fldChar w:fldCharType="end"/>
      </w:r>
    </w:p>
    <w:p w14:paraId="4051D6B9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Prawa przysługujące osobie, której dane są przetwarzane:</w:t>
      </w:r>
    </w:p>
    <w:p w14:paraId="1EA760A2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32F022" w14:textId="77777777" w:rsidR="009E5E87" w:rsidRPr="00D5431B" w:rsidRDefault="009E5E87" w:rsidP="009E5E87">
      <w:pPr>
        <w:numPr>
          <w:ilvl w:val="0"/>
          <w:numId w:val="45"/>
        </w:numPr>
        <w:spacing w:after="120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Prawo wniesienia skargi do organu nadzorczego:</w:t>
      </w:r>
    </w:p>
    <w:p w14:paraId="3B33148E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Przysługuje Pani/Panu prawo wniesienia skargi do Prezesa Urzędu Ochrony Danych Osobowych.</w:t>
      </w:r>
    </w:p>
    <w:p w14:paraId="31A85B03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Informacja o zautomatyzowanym podejmowaniu decyzji:</w:t>
      </w:r>
    </w:p>
    <w:p w14:paraId="22B84A3F" w14:textId="77777777" w:rsidR="009E5E87" w:rsidRPr="00D5431B" w:rsidRDefault="009E5E87" w:rsidP="009E5E87">
      <w:pPr>
        <w:spacing w:after="120"/>
      </w:pPr>
      <w:r w:rsidRPr="00D5431B">
        <w:rPr>
          <w:rFonts w:eastAsiaTheme="minorHAns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226E860" w14:textId="68837ECB" w:rsidR="00D05746" w:rsidRDefault="00D05746" w:rsidP="009E5E87">
      <w:pPr>
        <w:spacing w:before="120" w:after="60"/>
        <w:jc w:val="center"/>
        <w:rPr>
          <w:rFonts w:ascii="Garamond" w:hAnsi="Garamond"/>
          <w:sz w:val="24"/>
          <w:szCs w:val="24"/>
        </w:rPr>
      </w:pPr>
    </w:p>
    <w:sectPr w:rsidR="00D05746" w:rsidSect="007B362E">
      <w:pgSz w:w="11906" w:h="16838"/>
      <w:pgMar w:top="1417" w:right="1133" w:bottom="993" w:left="1417" w:header="708" w:footer="708" w:gutter="0"/>
      <w:pgNumType w:start="0"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D626B" w14:textId="77777777" w:rsidR="00B80D7C" w:rsidRDefault="00B80D7C">
      <w:r>
        <w:separator/>
      </w:r>
    </w:p>
  </w:endnote>
  <w:endnote w:type="continuationSeparator" w:id="0">
    <w:p w14:paraId="27246A50" w14:textId="77777777" w:rsidR="00B80D7C" w:rsidRDefault="00B8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5E686F" w:rsidRDefault="005E686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5E686F" w:rsidRDefault="005E686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5E686F" w:rsidRDefault="005E686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986DC" w14:textId="77777777" w:rsidR="00B80D7C" w:rsidRDefault="00B80D7C">
      <w:r>
        <w:separator/>
      </w:r>
    </w:p>
  </w:footnote>
  <w:footnote w:type="continuationSeparator" w:id="0">
    <w:p w14:paraId="46999546" w14:textId="77777777" w:rsidR="00B80D7C" w:rsidRDefault="00B80D7C">
      <w:r>
        <w:continuationSeparator/>
      </w:r>
    </w:p>
  </w:footnote>
  <w:footnote w:id="1">
    <w:p w14:paraId="130529A8" w14:textId="77777777" w:rsidR="009E5E87" w:rsidRPr="001C3D41" w:rsidRDefault="009E5E87" w:rsidP="009E5E87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5E686F" w:rsidRDefault="005E686F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1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7"/>
  </w:num>
  <w:num w:numId="5">
    <w:abstractNumId w:val="11"/>
  </w:num>
  <w:num w:numId="6">
    <w:abstractNumId w:val="30"/>
  </w:num>
  <w:num w:numId="7">
    <w:abstractNumId w:val="43"/>
  </w:num>
  <w:num w:numId="8">
    <w:abstractNumId w:val="35"/>
  </w:num>
  <w:num w:numId="9">
    <w:abstractNumId w:val="27"/>
  </w:num>
  <w:num w:numId="10">
    <w:abstractNumId w:val="17"/>
  </w:num>
  <w:num w:numId="11">
    <w:abstractNumId w:val="12"/>
  </w:num>
  <w:num w:numId="12">
    <w:abstractNumId w:val="23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5"/>
  </w:num>
  <w:num w:numId="16">
    <w:abstractNumId w:val="5"/>
  </w:num>
  <w:num w:numId="17">
    <w:abstractNumId w:val="16"/>
  </w:num>
  <w:num w:numId="18">
    <w:abstractNumId w:val="19"/>
  </w:num>
  <w:num w:numId="19">
    <w:abstractNumId w:val="10"/>
  </w:num>
  <w:num w:numId="20">
    <w:abstractNumId w:val="18"/>
  </w:num>
  <w:num w:numId="21">
    <w:abstractNumId w:val="0"/>
  </w:num>
  <w:num w:numId="22">
    <w:abstractNumId w:val="26"/>
  </w:num>
  <w:num w:numId="23">
    <w:abstractNumId w:val="21"/>
  </w:num>
  <w:num w:numId="24">
    <w:abstractNumId w:val="33"/>
  </w:num>
  <w:num w:numId="25">
    <w:abstractNumId w:val="32"/>
  </w:num>
  <w:num w:numId="26">
    <w:abstractNumId w:val="24"/>
  </w:num>
  <w:num w:numId="27">
    <w:abstractNumId w:val="41"/>
  </w:num>
  <w:num w:numId="28">
    <w:abstractNumId w:val="2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0"/>
  </w:num>
  <w:num w:numId="32">
    <w:abstractNumId w:val="37"/>
  </w:num>
  <w:num w:numId="33">
    <w:abstractNumId w:val="13"/>
  </w:num>
  <w:num w:numId="34">
    <w:abstractNumId w:val="9"/>
  </w:num>
  <w:num w:numId="35">
    <w:abstractNumId w:val="4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8"/>
  </w:num>
  <w:num w:numId="39">
    <w:abstractNumId w:val="44"/>
  </w:num>
  <w:num w:numId="40">
    <w:abstractNumId w:val="3"/>
  </w:num>
  <w:num w:numId="41">
    <w:abstractNumId w:val="45"/>
  </w:num>
  <w:num w:numId="42">
    <w:abstractNumId w:val="40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42"/>
  </w:num>
  <w:num w:numId="48">
    <w:abstractNumId w:val="1"/>
  </w:num>
  <w:num w:numId="4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5F3F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675D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026"/>
    <w:rsid w:val="00422200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E686F"/>
    <w:rsid w:val="005F1765"/>
    <w:rsid w:val="005F224B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512"/>
    <w:rsid w:val="007636C2"/>
    <w:rsid w:val="00764CEB"/>
    <w:rsid w:val="00764E12"/>
    <w:rsid w:val="00764E22"/>
    <w:rsid w:val="00764F67"/>
    <w:rsid w:val="00766F2A"/>
    <w:rsid w:val="0077099E"/>
    <w:rsid w:val="007718C1"/>
    <w:rsid w:val="00772D2C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362E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EF2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27FBD"/>
    <w:rsid w:val="009300ED"/>
    <w:rsid w:val="00934684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1E8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5E87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964CC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36A4"/>
    <w:rsid w:val="00B342C2"/>
    <w:rsid w:val="00B355D6"/>
    <w:rsid w:val="00B35FB8"/>
    <w:rsid w:val="00B36AB7"/>
    <w:rsid w:val="00B36FAF"/>
    <w:rsid w:val="00B376EB"/>
    <w:rsid w:val="00B40F5A"/>
    <w:rsid w:val="00B415D0"/>
    <w:rsid w:val="00B426B3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0D7C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25B"/>
    <w:rsid w:val="00BF0840"/>
    <w:rsid w:val="00BF134A"/>
    <w:rsid w:val="00BF34A8"/>
    <w:rsid w:val="00C0003F"/>
    <w:rsid w:val="00C0019A"/>
    <w:rsid w:val="00C0073B"/>
    <w:rsid w:val="00C02754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274B7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A6A0E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16A2D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0E35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0C0E"/>
    <w:rsid w:val="00DE1468"/>
    <w:rsid w:val="00DE4669"/>
    <w:rsid w:val="00DE787E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77A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5FF0"/>
    <w:rsid w:val="00FA730D"/>
    <w:rsid w:val="00FA7B8F"/>
    <w:rsid w:val="00FB06E2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iPriority w:val="99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  <w:style w:type="character" w:customStyle="1" w:styleId="WW8Num1z0">
    <w:name w:val="WW8Num1z0"/>
    <w:rsid w:val="001F675D"/>
    <w:rPr>
      <w:rFonts w:ascii="Garamond" w:hAnsi="Garamond" w:cs="Garamond" w:hint="default"/>
      <w:color w:val="auto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F132A-2773-4CBB-BEE5-2CD46FE9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4317</Words>
  <Characters>25905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30162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2</cp:revision>
  <cp:lastPrinted>2020-01-10T06:47:00Z</cp:lastPrinted>
  <dcterms:created xsi:type="dcterms:W3CDTF">2026-06-15T12:28:00Z</dcterms:created>
  <dcterms:modified xsi:type="dcterms:W3CDTF">2026-06-15T12:28:00Z</dcterms:modified>
</cp:coreProperties>
</file>