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1206" w:rsidRPr="007476A4" w:rsidRDefault="00431206" w:rsidP="00431206">
      <w:pPr>
        <w:pStyle w:val="Tytu"/>
        <w:spacing w:line="288" w:lineRule="auto"/>
        <w:rPr>
          <w:rFonts w:ascii="Century Gothic" w:hAnsi="Century Gothic"/>
          <w:sz w:val="18"/>
          <w:szCs w:val="18"/>
        </w:rPr>
      </w:pPr>
      <w:r w:rsidRPr="007476A4">
        <w:rPr>
          <w:rFonts w:ascii="Century Gothic" w:hAnsi="Century Gothic"/>
          <w:sz w:val="18"/>
          <w:szCs w:val="18"/>
        </w:rPr>
        <w:t>OPIS PRZEDMIOTU ZAMÓWIENIA</w:t>
      </w:r>
    </w:p>
    <w:p w:rsidR="00431206" w:rsidRPr="007476A4" w:rsidRDefault="00596231" w:rsidP="00596231">
      <w:pPr>
        <w:tabs>
          <w:tab w:val="center" w:pos="7002"/>
          <w:tab w:val="left" w:pos="11430"/>
        </w:tabs>
        <w:spacing w:before="100" w:beforeAutospacing="1" w:after="100" w:afterAutospacing="1" w:line="288" w:lineRule="auto"/>
        <w:rPr>
          <w:rFonts w:ascii="Century Gothic" w:hAnsi="Century Gothic" w:cs="Times New Roman"/>
          <w:b/>
          <w:sz w:val="18"/>
          <w:szCs w:val="18"/>
        </w:rPr>
      </w:pPr>
      <w:r w:rsidRPr="007476A4">
        <w:rPr>
          <w:rFonts w:ascii="Century Gothic" w:hAnsi="Century Gothic" w:cs="Times New Roman"/>
          <w:b/>
          <w:sz w:val="18"/>
          <w:szCs w:val="18"/>
        </w:rPr>
        <w:tab/>
      </w:r>
      <w:r w:rsidR="006004C3" w:rsidRPr="007476A4">
        <w:rPr>
          <w:rFonts w:ascii="Century Gothic" w:hAnsi="Century Gothic" w:cs="Times New Roman"/>
          <w:b/>
          <w:sz w:val="18"/>
          <w:szCs w:val="18"/>
        </w:rPr>
        <w:t>Komora gorąca</w:t>
      </w:r>
      <w:r w:rsidR="00243375" w:rsidRPr="007476A4">
        <w:rPr>
          <w:rFonts w:ascii="Century Gothic" w:hAnsi="Century Gothic" w:cs="Times New Roman"/>
          <w:b/>
          <w:sz w:val="18"/>
          <w:szCs w:val="18"/>
        </w:rPr>
        <w:t xml:space="preserve"> – 1</w:t>
      </w:r>
      <w:r w:rsidRPr="007476A4">
        <w:rPr>
          <w:rFonts w:ascii="Century Gothic" w:hAnsi="Century Gothic" w:cs="Times New Roman"/>
          <w:b/>
          <w:sz w:val="18"/>
          <w:szCs w:val="18"/>
        </w:rPr>
        <w:t xml:space="preserve"> szt.</w:t>
      </w:r>
      <w:r w:rsidRPr="007476A4">
        <w:rPr>
          <w:rFonts w:ascii="Century Gothic" w:hAnsi="Century Gothic" w:cs="Times New Roman"/>
          <w:b/>
          <w:sz w:val="18"/>
          <w:szCs w:val="18"/>
        </w:rPr>
        <w:tab/>
      </w:r>
    </w:p>
    <w:p w:rsidR="00431206" w:rsidRPr="007476A4" w:rsidRDefault="00431206" w:rsidP="008A7106">
      <w:pPr>
        <w:pStyle w:val="Standard"/>
        <w:tabs>
          <w:tab w:val="center" w:pos="7002"/>
        </w:tabs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Uwagi i objaśnienia:</w:t>
      </w:r>
      <w:r w:rsidR="008A7106" w:rsidRPr="007476A4">
        <w:rPr>
          <w:rFonts w:ascii="Century Gothic" w:hAnsi="Century Gothic" w:cs="Times New Roman"/>
          <w:sz w:val="18"/>
          <w:szCs w:val="18"/>
        </w:rPr>
        <w:tab/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Parametry określone jako „tak” są parametrami granicznymi. Udzielenie odpowiedzi „nie” lub innej nie stanowiącej jednoznacznego potwierdzenia spełniania warunku będzie skutkowało odrzuceniem oferty.</w:t>
      </w: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  <w:lang w:val="en-US"/>
        </w:rPr>
      </w:pPr>
      <w:r w:rsidRPr="007476A4">
        <w:rPr>
          <w:rFonts w:ascii="Century Gothic" w:hAnsi="Century Gothic" w:cs="Times New Roman"/>
          <w:sz w:val="18"/>
          <w:szCs w:val="18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:rsidR="00431206" w:rsidRPr="007476A4" w:rsidRDefault="00431206" w:rsidP="00543547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Wykonawca zobowiązany jest do podania parametrów w jednostkach wskazanych w niniejszym opisie.</w:t>
      </w:r>
    </w:p>
    <w:p w:rsidR="00431206" w:rsidRPr="007476A4" w:rsidRDefault="00431206" w:rsidP="00D6776D">
      <w:pPr>
        <w:pStyle w:val="Standard"/>
        <w:numPr>
          <w:ilvl w:val="0"/>
          <w:numId w:val="6"/>
        </w:numPr>
        <w:spacing w:line="288" w:lineRule="auto"/>
        <w:jc w:val="both"/>
        <w:textAlignment w:val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Wykonawca gwarantuje niniejszym, że sprzęt jest fabrycznie nowy (rok produkcji: nie wcześniej niż 2018), nieużywany, kompletny i do jego uruchomienia oraz stosowania zgodnie z przeznaczeniem nie jest konieczny zakup dodatkowych elementów i akcesoriów.</w:t>
      </w:r>
      <w:r w:rsidR="00D6776D" w:rsidRPr="00D6776D">
        <w:t xml:space="preserve"> </w:t>
      </w:r>
      <w:r w:rsidR="00D6776D" w:rsidRPr="00D6776D">
        <w:rPr>
          <w:color w:val="FF0000"/>
        </w:rPr>
        <w:t>(</w:t>
      </w:r>
      <w:r w:rsidR="00D6776D" w:rsidRPr="00D6776D">
        <w:rPr>
          <w:rFonts w:ascii="Century Gothic" w:hAnsi="Century Gothic" w:cs="Times New Roman"/>
          <w:color w:val="FF0000"/>
          <w:sz w:val="18"/>
          <w:szCs w:val="18"/>
        </w:rPr>
        <w:t>Wymagane jest w ramach zaoferowanej ceny dostarczenie zestawów startowych w przypadku materiałów zużywalnych, tak aby prawidłowo uruchomić zainstalowany sprzęt oraz przeprowadzić szkolenia.</w:t>
      </w:r>
      <w:r w:rsidR="00D6776D">
        <w:rPr>
          <w:rFonts w:ascii="Century Gothic" w:hAnsi="Century Gothic" w:cs="Times New Roman"/>
          <w:color w:val="FF0000"/>
          <w:sz w:val="18"/>
          <w:szCs w:val="18"/>
        </w:rPr>
        <w:t>)</w:t>
      </w:r>
      <w:r w:rsidRPr="00D6776D">
        <w:rPr>
          <w:rFonts w:ascii="Century Gothic" w:hAnsi="Century Gothic" w:cs="Times New Roman"/>
          <w:color w:val="FF0000"/>
          <w:sz w:val="18"/>
          <w:szCs w:val="18"/>
        </w:rPr>
        <w:t xml:space="preserve"> </w:t>
      </w:r>
      <w:r w:rsidRPr="007476A4">
        <w:rPr>
          <w:rFonts w:ascii="Century Gothic" w:hAnsi="Century Gothic" w:cs="Times New Roman"/>
          <w:sz w:val="18"/>
          <w:szCs w:val="18"/>
        </w:rPr>
        <w:t>Żaden aparat ani jego część składowa, wyposażenie, etc. nie jest sprzętem rekondycjonowanym, powystawowym i nie był wykorzystywany wcześniej przez innego użytkownika.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Nazwa i typ: .............................................................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Producent / kraj produkcji: ........................................................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Rok produkcji (min. 2018): …..............</w:t>
      </w: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  <w:r w:rsidRPr="007476A4">
        <w:rPr>
          <w:rFonts w:ascii="Century Gothic" w:hAnsi="Century Gothic" w:cs="Times New Roman"/>
          <w:sz w:val="18"/>
          <w:szCs w:val="18"/>
        </w:rPr>
        <w:t>Klasa wyrobu medycznego: ..................</w:t>
      </w:r>
    </w:p>
    <w:p w:rsidR="00A60903" w:rsidRDefault="00A60903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tbl>
      <w:tblPr>
        <w:tblpPr w:leftFromText="141" w:rightFromText="141" w:vertAnchor="text" w:tblpX="67"/>
        <w:tblW w:w="141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4"/>
        <w:gridCol w:w="6800"/>
      </w:tblGrid>
      <w:tr w:rsidR="00A60903" w:rsidRPr="00665E29" w:rsidTr="00A60903">
        <w:trPr>
          <w:trHeight w:val="70"/>
        </w:trPr>
        <w:tc>
          <w:tcPr>
            <w:tcW w:w="73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Przedmiot: </w:t>
            </w:r>
            <w:r>
              <w:t xml:space="preserve"> </w:t>
            </w:r>
            <w:r w:rsidRPr="006A2014">
              <w:rPr>
                <w:rFonts w:ascii="Century Gothic" w:hAnsi="Century Gothic"/>
                <w:b/>
                <w:sz w:val="20"/>
                <w:szCs w:val="20"/>
              </w:rPr>
              <w:t>Komora gorąca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 xml:space="preserve"> – 1 szt.</w:t>
            </w:r>
          </w:p>
        </w:tc>
        <w:tc>
          <w:tcPr>
            <w:tcW w:w="6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Cena brutto (w zł)</w:t>
            </w:r>
          </w:p>
        </w:tc>
      </w:tr>
      <w:tr w:rsidR="00A60903" w:rsidRPr="00665E29" w:rsidTr="00A60903">
        <w:trPr>
          <w:trHeight w:val="70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A: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sprzętu wraz z dostawą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60903" w:rsidRPr="00665E29" w:rsidTr="00A60903">
        <w:trPr>
          <w:trHeight w:val="70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B</w:t>
            </w: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instalacji i uruchomienia sprzętu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60903" w:rsidRPr="00665E29" w:rsidTr="00A60903">
        <w:trPr>
          <w:trHeight w:val="70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</w:t>
            </w: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szkoleń</w:t>
            </w:r>
            <w:r>
              <w:rPr>
                <w:rFonts w:ascii="Century Gothic" w:hAnsi="Century Gothic"/>
                <w:bCs/>
                <w:sz w:val="20"/>
                <w:szCs w:val="20"/>
              </w:rPr>
              <w:t xml:space="preserve"> personelu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  <w:tr w:rsidR="00A60903" w:rsidRPr="00665E29" w:rsidTr="00A60903">
        <w:trPr>
          <w:trHeight w:val="715"/>
        </w:trPr>
        <w:tc>
          <w:tcPr>
            <w:tcW w:w="73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A60903" w:rsidRPr="00665E29" w:rsidRDefault="00A60903" w:rsidP="00A60903">
            <w:pPr>
              <w:spacing w:line="288" w:lineRule="auto"/>
              <w:jc w:val="right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A+B+C</w:t>
            </w:r>
            <w:r w:rsidRPr="00665E29">
              <w:rPr>
                <w:rFonts w:ascii="Century Gothic" w:hAnsi="Century Gothic"/>
                <w:b/>
                <w:bCs/>
                <w:sz w:val="20"/>
                <w:szCs w:val="20"/>
              </w:rPr>
              <w:t>:</w:t>
            </w:r>
            <w:r w:rsidRPr="00665E29">
              <w:rPr>
                <w:rFonts w:ascii="Century Gothic" w:hAnsi="Century Gothic"/>
                <w:bCs/>
                <w:sz w:val="20"/>
                <w:szCs w:val="20"/>
              </w:rPr>
              <w:t xml:space="preserve"> Cena brutto oferty</w:t>
            </w:r>
          </w:p>
        </w:tc>
        <w:tc>
          <w:tcPr>
            <w:tcW w:w="6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A60903" w:rsidRPr="00665E29" w:rsidRDefault="00A60903" w:rsidP="00A60903">
            <w:pPr>
              <w:spacing w:line="600" w:lineRule="auto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:rsidR="00A60903" w:rsidRPr="007476A4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Pr="007476A4" w:rsidRDefault="00A60903" w:rsidP="00A60903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A60903" w:rsidRPr="007476A4" w:rsidRDefault="00A60903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431206" w:rsidRPr="007476A4" w:rsidRDefault="00431206" w:rsidP="00431206">
      <w:pPr>
        <w:pStyle w:val="Standard"/>
        <w:spacing w:line="288" w:lineRule="auto"/>
        <w:rPr>
          <w:rFonts w:ascii="Century Gothic" w:hAnsi="Century Gothic" w:cs="Times New Roman"/>
          <w:sz w:val="18"/>
          <w:szCs w:val="18"/>
        </w:rPr>
      </w:pPr>
    </w:p>
    <w:p w:rsidR="00536CB8" w:rsidRPr="007476A4" w:rsidRDefault="00536CB8">
      <w:pPr>
        <w:rPr>
          <w:rFonts w:ascii="Century Gothic" w:hAnsi="Century Gothic" w:cs="Times New Roman"/>
          <w:b/>
          <w:bCs/>
          <w:sz w:val="18"/>
          <w:szCs w:val="18"/>
        </w:rPr>
      </w:pPr>
      <w:r w:rsidRPr="007476A4">
        <w:rPr>
          <w:rFonts w:ascii="Century Gothic" w:hAnsi="Century Gothic" w:cs="Times New Roman"/>
          <w:b/>
          <w:bCs/>
          <w:sz w:val="18"/>
          <w:szCs w:val="18"/>
        </w:rPr>
        <w:br w:type="page"/>
      </w:r>
    </w:p>
    <w:p w:rsidR="00984712" w:rsidRPr="007476A4" w:rsidRDefault="00984712" w:rsidP="00984712">
      <w:pPr>
        <w:spacing w:line="360" w:lineRule="auto"/>
        <w:rPr>
          <w:rFonts w:ascii="Century Gothic" w:hAnsi="Century Gothic" w:cs="Times New Roman"/>
          <w:b/>
          <w:bCs/>
          <w:sz w:val="18"/>
          <w:szCs w:val="18"/>
        </w:rPr>
      </w:pPr>
      <w:r w:rsidRPr="007476A4">
        <w:rPr>
          <w:rFonts w:ascii="Century Gothic" w:hAnsi="Century Gothic" w:cs="Times New Roman"/>
          <w:b/>
          <w:bCs/>
          <w:sz w:val="18"/>
          <w:szCs w:val="18"/>
        </w:rPr>
        <w:lastRenderedPageBreak/>
        <w:t>Parametry techniczne i eksploatacyjne</w:t>
      </w: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812"/>
        <w:gridCol w:w="1701"/>
        <w:gridCol w:w="3685"/>
        <w:gridCol w:w="2694"/>
      </w:tblGrid>
      <w:tr w:rsidR="008028E8" w:rsidRPr="007476A4" w:rsidTr="008028E8">
        <w:tc>
          <w:tcPr>
            <w:tcW w:w="709" w:type="dxa"/>
            <w:vAlign w:val="center"/>
          </w:tcPr>
          <w:p w:rsidR="008028E8" w:rsidRPr="007476A4" w:rsidRDefault="008028E8" w:rsidP="00DF3136">
            <w:pPr>
              <w:pStyle w:val="Zawartotabeli"/>
              <w:snapToGrid w:val="0"/>
              <w:spacing w:line="288" w:lineRule="auto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l.p.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8028E8" w:rsidRPr="007476A4" w:rsidRDefault="008028E8" w:rsidP="00106FA1">
            <w:pPr>
              <w:pStyle w:val="Zawartotabeli"/>
              <w:snapToGrid w:val="0"/>
              <w:jc w:val="both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Opis parametru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8E8" w:rsidRPr="007476A4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Parametr wymagany/ wartość</w:t>
            </w:r>
          </w:p>
        </w:tc>
        <w:tc>
          <w:tcPr>
            <w:tcW w:w="3685" w:type="dxa"/>
            <w:shd w:val="clear" w:color="auto" w:fill="auto"/>
            <w:vAlign w:val="center"/>
          </w:tcPr>
          <w:p w:rsidR="008028E8" w:rsidRPr="007476A4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Parametr oferowany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8028E8" w:rsidRPr="007476A4" w:rsidRDefault="008028E8" w:rsidP="00C2669F">
            <w:pPr>
              <w:pStyle w:val="Zawartotabeli"/>
              <w:snapToGrid w:val="0"/>
              <w:spacing w:line="288" w:lineRule="auto"/>
              <w:jc w:val="center"/>
              <w:rPr>
                <w:rFonts w:ascii="Century Gothic" w:hAnsi="Century Gothic"/>
                <w:b/>
                <w:sz w:val="18"/>
                <w:szCs w:val="18"/>
                <w:highlight w:val="yellow"/>
              </w:rPr>
            </w:pPr>
            <w:r w:rsidRPr="007476A4">
              <w:rPr>
                <w:rFonts w:ascii="Century Gothic" w:hAnsi="Century Gothic"/>
                <w:b/>
                <w:sz w:val="18"/>
                <w:szCs w:val="18"/>
              </w:rPr>
              <w:t>OCENA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97D2F" w:rsidRDefault="006004C3" w:rsidP="00B3317A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Ekranowany izolator z przepływem laminarnym do manipulacji i kalibracji radiofarmaceutyków zgodnie z wytycznymi cGMP.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G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warancja nie przekroczenia w komorze głównej temperatury 25 </w:t>
            </w:r>
            <w:r w:rsidR="00B3317A" w:rsidRPr="00B3317A">
              <w:rPr>
                <w:rFonts w:ascii="Arial" w:hAnsi="Arial" w:cs="Arial"/>
                <w:color w:val="000000"/>
                <w:sz w:val="18"/>
                <w:szCs w:val="18"/>
              </w:rPr>
              <w:t>ᵒ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 przy temperaturze otoczenia 25 </w:t>
            </w:r>
            <w:r w:rsidR="00B3317A" w:rsidRPr="00B3317A">
              <w:rPr>
                <w:rFonts w:ascii="Arial" w:hAnsi="Arial" w:cs="Arial"/>
                <w:color w:val="000000"/>
                <w:sz w:val="18"/>
                <w:szCs w:val="18"/>
              </w:rPr>
              <w:t>ᵒ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 oraz stosowania suchego bloku (typowe temp. inkubacji: 90-100 </w:t>
            </w:r>
            <w:r w:rsidR="00B3317A" w:rsidRPr="00B3317A">
              <w:rPr>
                <w:rFonts w:ascii="Arial" w:hAnsi="Arial" w:cs="Arial"/>
                <w:color w:val="000000"/>
                <w:sz w:val="18"/>
                <w:szCs w:val="18"/>
              </w:rPr>
              <w:t>ᵒ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C)</w:t>
            </w:r>
            <w:r w:rsidR="00797D2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bądź m</w:t>
            </w:r>
            <w:r w:rsidR="00797D2F"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ożliwość podłączenia do wlotu komory gorącej powietrza z klimatyzacji centralnej lub zastosowanie innej metody umożliwiającej utrzymywanie temperatury poniżej 25 </w:t>
            </w:r>
            <w:r w:rsidR="00797D2F" w:rsidRPr="00797D2F">
              <w:rPr>
                <w:rFonts w:ascii="Arial" w:hAnsi="Arial" w:cs="Arial"/>
                <w:color w:val="FF0000"/>
                <w:sz w:val="18"/>
                <w:szCs w:val="18"/>
              </w:rPr>
              <w:t>ᵒ</w:t>
            </w:r>
            <w:r w:rsidR="00797D2F"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3317A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Default="006004C3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Możliwość pracy ze związkami opartymi na Tc99m, jak i generycznymi emiterami PET i SPECT.</w:t>
            </w:r>
            <w:r w:rsidR="00DF3136">
              <w:t xml:space="preserve"> </w:t>
            </w:r>
            <w:r w:rsidR="00DF3136" w:rsidRPr="00797D2F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Zapewniona dodatkowa przestrzeń w komorze (min. 30x50x50 cm) i media (zasilanie, powietrze) na moduł do syntezy oraz dodatkowa przestrzeń w komorze (min. 30x30x15 cm) i media (zasilanie) na suchy blok grzejny</w:t>
            </w:r>
          </w:p>
          <w:p w:rsidR="00797D2F" w:rsidRPr="00797D2F" w:rsidRDefault="00797D2F" w:rsidP="00797D2F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Wystarczająca przestrzeń do przeprowadzania manualnych czynności związanych z procedurami znakowania radiofarmaceutyków.   </w:t>
            </w:r>
          </w:p>
          <w:p w:rsidR="00797D2F" w:rsidRPr="00797D2F" w:rsidRDefault="00797D2F" w:rsidP="00797D2F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Dodatkowo zapewniona przestrzeń w komorze głównej na urządzania pomocnicze (min. 30x50x50 cm). W ramach której może być umieszczony suchy blok grzejny (pkt. 55).  </w:t>
            </w:r>
          </w:p>
          <w:p w:rsidR="00797D2F" w:rsidRPr="00797D2F" w:rsidRDefault="00797D2F" w:rsidP="00797D2F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Dodatkowe w komorze głównej 2 punkty zasilania 230V, 1000 W oraz doprowadzenie sprężonego powietrza max. 10 bar </w:t>
            </w:r>
            <w:r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lastRenderedPageBreak/>
              <w:t>(powietrze do całej komory po stronie zamawiającego)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966B2D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  <w:r w:rsidR="00966B2D" w:rsidRPr="00966B2D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color w:val="FF0000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Główna komora wyposażona w </w:t>
            </w:r>
            <w:r w:rsid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min. 2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plastikowe wsporniki do obsługi izotopów emitujących promieniowanie beta</w:t>
            </w:r>
            <w:r w:rsidR="00797D2F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- służące</w:t>
            </w:r>
            <w:r w:rsidR="00797D2F" w:rsidRPr="00797D2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do przetrzymywania fiolek/strzykawek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Struktura nośna ze stali węglowej powleczona epoksydem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Przednie pokrywy ze stali nierdzewnej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304 AISI, łatwe do odkażania, oddzielają obszar laboratorium (przód) od części technicznej (z tyłu)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430DE6" w:rsidRDefault="006004C3" w:rsidP="00DC262D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Komory robocze ze stali nierdzewnej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AISI 316L z wykończeniem wewnętrznym typu Mirror-Bright lub równoważnym, spawy ciągłe i szeroko zaokrąglone narożniki</w:t>
            </w:r>
            <w:r w:rsidR="00430DE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  <w:r w:rsidR="00430DE6" w:rsidRPr="00430DE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Zamawiający dopuszcza zastosowanie wykończenia </w:t>
            </w:r>
            <w:r w:rsidR="00DC262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wewnętrznego materiałem plastikowym.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7B4693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Szczelność komór zapewniona przez nadmuchiwany system uszczelek, umieszczony na obwodzie otworów lub inny system zapewniający szczelność komór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E25CCA" w:rsidP="00DF3136">
            <w:pPr>
              <w:jc w:val="center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nadmuchiwany system uszczelek – 3 pkt.;</w:t>
            </w:r>
          </w:p>
          <w:p w:rsidR="00E25CCA" w:rsidRPr="007476A4" w:rsidRDefault="00E25CCA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inny system – 1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Ekranowane przednie drzwi na zawiasach ze szkłem i ekranowane drzwi dostępu do rąk.</w:t>
            </w:r>
            <w:r w:rsidR="00B3317A">
              <w:t xml:space="preserve">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kienko podglądu: wielkość umożliwiająca sprawną pracę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komorze roboczej, szkło o ekwiwalencie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Pb min. 50 mm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3317A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A90255" w:rsidRDefault="006004C3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Elementy ekranujące wykonane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sztab: Pb 98% + Sb 2%  (+/-5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%)</w:t>
            </w:r>
            <w:r w:rsidR="00A9025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</w:t>
            </w:r>
            <w:r w:rsidR="00A90255" w:rsidRP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Zamawiający dopuszcza sztaby ołowiane wykonane ze 100% </w:t>
            </w:r>
            <w:r w:rsidR="00A90255" w:rsidRP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lastRenderedPageBreak/>
              <w:t>ołowiu bez domieszek innych metali.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Osłonność min.:  50 mm Pb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filtracji wlotu powietrza wykonany z absolutnego fil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tra HEPA z wydajnością min. 99,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95%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c>
          <w:tcPr>
            <w:tcW w:w="709" w:type="dxa"/>
            <w:tcBorders>
              <w:bottom w:val="single" w:sz="4" w:space="0" w:color="auto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System filtracji do generowania przepływu laminarnego w komorze klasy A, wykonany z absolutnego wkładu filtracyjnego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ULPA U15</w:t>
            </w:r>
            <w:r w:rsidR="00A9025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HEPA14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M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ożliwość pracy w trakcie laminarnego przepływu powietrza  w komorze roboczej z osłoną i bez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robocza do dozowania z jakością powietrza zgodna z klasą A "w spoczynku" (EEC-cGMP) i wyposażona w laminarny przepływ na całym obszarze i rękawice manipulacyjne.</w:t>
            </w:r>
            <w:r w:rsidR="00B3317A">
              <w:t xml:space="preserve">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inimum 2 rozmiary rękawic po 3 komplety każdy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B3317A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filtracji powietrza wylotowego wykonany z wkładem filtracyjnym z węglem aktywnym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A90255" w:rsidRDefault="006004C3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przejścia materiału (śluza powietrzna) o jakości powietrza zgodnej z klasą B "w spoczynku" (EEC-cGMP) i wyposażona w automatyczny system podnoszenia do załadunku w komorze roboczej</w:t>
            </w:r>
            <w:r w:rsidR="00A9025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wyposażona w szufladę</w:t>
            </w:r>
            <w:r w:rsidR="000D37FA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83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echniczne przewody zasilania gazem z zaworami odcinającymi, które mogą być sterowane z zewnątrz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E25CCA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TAK/NIE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5CCA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 – 1 pkt.,</w:t>
            </w:r>
          </w:p>
          <w:p w:rsidR="006004C3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rzewód zasilania technicznego z zaworami odcinającymi, które mogą być sterowane z zewnątrz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E25CCA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TAK/NIE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25CCA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 – 1 pkt.,</w:t>
            </w:r>
          </w:p>
          <w:p w:rsidR="006004C3" w:rsidRPr="007476A4" w:rsidRDefault="006004C3" w:rsidP="00E25CCA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Wlot kabla za pomocą wielowarstwowego systemu uszczelnienia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Chronione gniazda zasilania sterowane z panelu operatora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Default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Min. 5,5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-calowy panel operatora z ekranem dotykowym do sprawdzania i śledzenia najważniejszych parametrów maszyny zarówno w trybie "spoczynku", jak i "pracy"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P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omiar mocy dawki komory roboczej w 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jednostkach min. 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Sv/h</w:t>
            </w:r>
            <w:r w:rsid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 M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onitoring 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="00B3317A" w:rsidRPr="00B3317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temperatury, wilgotności</w:t>
            </w:r>
            <w:r w:rsidR="00DC262D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  <w:p w:rsidR="00DC262D" w:rsidRPr="007476A4" w:rsidRDefault="00DC262D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DC262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Zamawiający dopuszcza, nie wymaga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,</w:t>
            </w:r>
            <w:r w:rsidRPr="00DC262D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aby system nadzorował parametry takie jak temperatura i wilgotność bez możliwości ich samo regulowania (np. jeśli wilgotność względna osiągnie wartość progową, system sam automatycznie jej nie wyreguluje)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E25CCA" w:rsidRPr="007476A4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430DE6" w:rsidRDefault="006004C3" w:rsidP="00E25CCA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kalibratora dawki wyposażona w system do poruszania fiolką</w:t>
            </w:r>
            <w:r w:rsidR="00430DE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/strzykawką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studzience</w:t>
            </w:r>
            <w:r w:rsidR="00430DE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  <w:r w:rsidR="00430DE6" w:rsidRPr="00430DE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W momencie awarii systemu powinna być możliwość manualnego wprowadzenia źródła promieniotwórczego do studzienki.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na odpady o jakości powietrza zgodnej z klasą B "W spoczynku" (EEC-cGMP)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Komora generatora o jakości powietrza zgodnej z klasą B "W spoczynku" (EEC-cGMP), która może pomieścić do 2 generatorów Mo99 / Tc99m lub Ge68 / Ga68, wyposażona w automatyczny system selekcji i ładowania oraz wyposażona w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>drzwi przednie do wyjmowania/wkładania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Połączenia dla testu DOP (test uszczelnienia filtra) filtrów absolutnych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System do automatycznych testów szczelności w komorze dozującej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Pokrywa ze stali nierdzewnej od dachu komory do sufitu laboratorium. Wszystkie pokrywy wykonane są w całości ze stali nierdzewnej </w:t>
            </w:r>
            <w:r w:rsidR="00E25CC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AISI 304 z wykończeniem Scotch Brite lub równoważnym.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6004C3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DF3136" w:rsidP="00E25CC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KALIBRATOR DAWEK</w:t>
            </w:r>
            <w:r w:rsidR="006004C3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after="60"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Umożliwia pomiar dokładnych pomiarów aktywności próbek radionuklidów.</w:t>
            </w:r>
            <w:r w:rsidR="00DF3136">
              <w:t xml:space="preserve"> </w:t>
            </w:r>
            <w:r w:rsid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Zapewniona w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spółpraca z dyspenserem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004C3" w:rsidRPr="007476A4" w:rsidRDefault="006004C3" w:rsidP="00DF3136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Urządzenie składa się z: </w:t>
            </w:r>
          </w:p>
          <w:p w:rsidR="0084562E" w:rsidRPr="007476A4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m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in. 8-calowy monitor z ekranem dotykowym (min. 1024 x 768 pikseli)</w:t>
            </w:r>
            <w:r w:rsidR="00A9025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lub </w:t>
            </w:r>
            <w:r w:rsidR="00A90255" w:rsidRP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monitor z ekranem dotykowym minimum 14 cali wspólny z razem z dyspenserem do frakcjonowania radiofamaceutyków w strzykawkach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84562E" w:rsidRPr="007476A4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komory jonizacyjnej,</w:t>
            </w:r>
          </w:p>
          <w:p w:rsidR="0084562E" w:rsidRPr="007476A4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drukarki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etykiet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DF3136" w:rsidRDefault="00DF3136" w:rsidP="00E76415">
            <w:pPr>
              <w:spacing w:after="0" w:line="240" w:lineRule="auto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kabla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do połączenia między komorą jonizacyjną a monitorem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DF3136" w:rsidRPr="00DF3136" w:rsidRDefault="00DF3136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t xml:space="preserve">-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akcesorium do kontroli jakości eluatu 99mTc w kierunku zanieczyszczenia 99Mo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DF3136" w:rsidRPr="00DF3136" w:rsidRDefault="00E76415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wkładką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zabezp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ieczającą</w:t>
            </w:r>
            <w:r w:rsidR="00DF3136"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przed kontaminacją komorę jonizacyjną</w:t>
            </w:r>
          </w:p>
          <w:p w:rsidR="00DF3136" w:rsidRPr="00DF3136" w:rsidRDefault="00DF3136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dodatkowy uchwyt dedykowany do strzykawek 1 ml </w:t>
            </w:r>
          </w:p>
          <w:p w:rsidR="00A90255" w:rsidRPr="00A90255" w:rsidRDefault="00DF3136" w:rsidP="00A90255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skalibrowanie źródło Cs-137 do kontroli jakości miernika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 xml:space="preserve">(dostarczenie 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źródła przez Wykonawcę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momencie otrzymania stosownych zezwoleń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przez Zamawiającego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)</w:t>
            </w:r>
            <w:r w:rsid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- a</w:t>
            </w:r>
            <w:r w:rsidR="00A90255" w:rsidRP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ktywność 8 MBq +/- 10% </w:t>
            </w:r>
          </w:p>
          <w:p w:rsidR="0084562E" w:rsidRPr="00A90255" w:rsidRDefault="00A90255" w:rsidP="00A90255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A90255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- w okresie gwarancji co roku wzorcowanie dla: I-131, Y-90, Lu-177, Tc-99m, I-123, Ga-68, F-18, Cs-137, Re-186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F3136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F3136" w:rsidRPr="007476A4" w:rsidRDefault="00DF3136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136" w:rsidRPr="007476A4" w:rsidRDefault="00DF3136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wzorcowane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przez akredytowane laboratorium minimum dla: I-131, Y-90, Lu-177, Tc-99m, I-123, Ga-68, F-18, Cs-137, Re-186, Co-57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36" w:rsidRPr="007476A4" w:rsidRDefault="00DF3136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DF3136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DF3136" w:rsidRPr="007476A4" w:rsidRDefault="00DF3136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F3136" w:rsidRPr="007476A4" w:rsidRDefault="00DF3136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Urządzenie wzorcowane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przez akredytowane laboratorium minimum dla: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DF3136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Ra-223, Er-169,  ln-111, C-11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/NIE,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3136" w:rsidRPr="007476A4" w:rsidRDefault="00DF3136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3136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TAK – 6 pkt.;</w:t>
            </w:r>
          </w:p>
          <w:p w:rsidR="00DF3136" w:rsidRPr="007476A4" w:rsidRDefault="00DF3136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sz w:val="18"/>
                <w:szCs w:val="18"/>
              </w:rPr>
              <w:t>NIE – 0 pkt.</w:t>
            </w:r>
          </w:p>
        </w:tc>
      </w:tr>
      <w:tr w:rsidR="006004C3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004C3" w:rsidRPr="007476A4" w:rsidRDefault="006004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KOMORA JONIZACYJNA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:</w:t>
            </w:r>
          </w:p>
          <w:p w:rsidR="0084562E" w:rsidRPr="007476A4" w:rsidRDefault="0084562E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Saturacja: &gt;200 GBq (Tc-99m), &gt;70 GBq (F-18). &gt;6 Ci (Tc-99m), &gt;2 Ci (F-18)</w:t>
            </w:r>
          </w:p>
          <w:p w:rsidR="0084562E" w:rsidRPr="007476A4" w:rsidRDefault="0084562E" w:rsidP="00E76415">
            <w:pPr>
              <w:spacing w:after="0"/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Zakres energii min.: 25 keV - 3 MeV</w:t>
            </w:r>
          </w:p>
          <w:p w:rsidR="006004C3" w:rsidRPr="00430DE6" w:rsidRDefault="00DF3136" w:rsidP="00E76415">
            <w:pPr>
              <w:spacing w:after="0"/>
              <w:rPr>
                <w:rFonts w:ascii="Century Gothic" w:hAnsi="Century Gothic" w:cs="Times New Roman"/>
                <w:strike/>
                <w:color w:val="FF0000"/>
                <w:sz w:val="18"/>
                <w:szCs w:val="18"/>
              </w:rPr>
            </w:pPr>
            <w:r w:rsidRPr="00430DE6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Osłonięcie min.:  40 mm Pb</w:t>
            </w:r>
          </w:p>
          <w:p w:rsidR="00430DE6" w:rsidRPr="00430DE6" w:rsidRDefault="00430DE6" w:rsidP="00E76415">
            <w:pPr>
              <w:spacing w:after="0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430DE6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Osłonięcie gwarantujące nie podwyższenie tła w komorze jonizacyjnej w wyniku operacji otwartymi źródłami  (aktywność: 2 GBq F-18, 30 GBq Tc-99m), zainstalowanego generatora 99Mo/99mTc lub 68Ge/Ga (aktywność: 10 GBq Mo-99, 1 GBq Ge-68). Całościowo osłona między źródłem promieniotwórczym, a komorą jonizującą powinna wynosić minimalnie 40 mm ekwiwalentu Pb.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DF3136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04C3" w:rsidRPr="007476A4" w:rsidRDefault="006004C3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04C3" w:rsidRPr="007476A4" w:rsidRDefault="006004C3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MONITORING DAWEK PROMIENIOWANIA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EF1ACA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Urządzenie do wykrywania radioaktywności w </w:t>
            </w:r>
            <w:r w:rsidR="00EF1ACA">
              <w:rPr>
                <w:rFonts w:ascii="Century Gothic" w:hAnsi="Century Gothic" w:cs="Times New Roman"/>
                <w:sz w:val="18"/>
                <w:szCs w:val="18"/>
              </w:rPr>
              <w:t xml:space="preserve">komorach 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gorących. </w:t>
            </w:r>
            <w:r w:rsidR="00EF1ACA">
              <w:rPr>
                <w:rFonts w:ascii="Century Gothic" w:hAnsi="Century Gothic" w:cs="Times New Roman"/>
                <w:sz w:val="18"/>
                <w:szCs w:val="18"/>
              </w:rPr>
              <w:t>Z funkcją blokowania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drzwi, gdy dawka wzrasta powyżej ustawionego progu alarmowego.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W przypadku wyzwolenia alarmu, wlotowe i wylotowe zawory powietrza w komorze są zamknięte.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Sonda detekcyjna jest instalowana wewnątrz komory podczas gdy jednostka licząca jest zamontowana na panelu.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 przeznaczony  do bezpiecznego i dokładnego frakcjonowania radiofarmaceutyków w strzykawkach.</w:t>
            </w:r>
          </w:p>
          <w:p w:rsidR="00F17A3E" w:rsidRPr="007476A4" w:rsidRDefault="000A4C9F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F17A3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Zamawiający</w:t>
            </w:r>
            <w:r w:rsidR="00F17A3E" w:rsidRPr="00F17A3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dopuszcza, dyspenser który będzie umożliwiał bezpieczne i dokładne frakcjonowanie radiofarmaceutyków w strzykawkach i innych pojemnikach (np. kartridżach współpracujących z automatyczną pompą iniekcyjną/wstrzykiwaczem.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192883" w:rsidRDefault="0084562E" w:rsidP="00192883">
            <w:pPr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</w:pPr>
            <w:r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Zaprojektowany zgodnie z 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wytycznymi Unii Europejskiej dotyczące Dobrej Praktyki Wytwarzania </w:t>
            </w:r>
            <w:r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Eudralex - w Partii </w:t>
            </w:r>
            <w:r w:rsidR="00E97C9A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min. </w:t>
            </w:r>
            <w:r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>4 (GMP)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 xml:space="preserve"> [Eudralex The Rules Governing Medicinal Products In the European Union Volume 4 EU guidelines for Good Manufacturing Practice for Medicinal Products for Human and Veterinary Use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>]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  <w:lang w:val="en-US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59623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06"/>
        </w:trPr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Dyspenser może mierzyć radioaktywność dozowanej dawki poprzez zintegrowaną komorę jonizacyjną.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596231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Może otrzymywać radiofarmaceutyki z fiolki wielodawkowej.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spacing w:after="60"/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TAK </w:t>
            </w:r>
          </w:p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Default="0084562E" w:rsidP="00E97C9A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Ekranowanie dla zestawów jednorazowego użytku i dla docelowej strzykawki</w:t>
            </w:r>
            <w:r w:rsidR="00D67C77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D67C77" w:rsidRPr="00D67C77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– należy zastosować osłonność o </w:t>
            </w:r>
            <w:r w:rsidR="00D67C77" w:rsidRPr="00D67C77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lastRenderedPageBreak/>
              <w:t>ekwiwalencie minimum 10 mm Pb</w:t>
            </w:r>
          </w:p>
          <w:p w:rsidR="000A4C9F" w:rsidRPr="00D67C77" w:rsidRDefault="000A4C9F" w:rsidP="00E97C9A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0A4C9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Zamawiający dopuszcza osłonięcie strzykawki które może być dokonywane przez osłonkę, w której umieszczana jest strzykawka lub kartridż współpracujący z automatyczną pompą iniekcyjną/wstrzykiwaczem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D67C77" w:rsidRDefault="0084562E" w:rsidP="00DF3136">
            <w:pPr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  <w:r w:rsidR="00D67C77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97C9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Specjalistyczny system z osłoną wolframową do dozowania do strzykawek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Obliczanie stężenia za pomocą próbkowania wolumetrycznego i pomiaru aktywności za pomocą zintegrowanego kalibratora dawki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Ekranowanie w punktach krytycznych (przepływ płynu radiacyjnego) 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25 mm Pb.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966B2D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966B2D" w:rsidRPr="00966B2D"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19288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Zarządzanie recepturami, automatyzacja i kontrola przepływu pracy za pomocą interfejsu operatora opracowanego zgodnie z regulacją GAMP i zgodnego z 21 CFR 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część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11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równoważny w zakresie współpracy</w:t>
            </w:r>
            <w:r w:rsidR="00192883" w:rsidRP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z oprogramowaniem umożliwiającym pobranie, wyświetlenie i analizę danych oraz ich zabezpieczenie przed zewnętrzną modyfikacją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ZINTEGROWANY LICZNIK CZĄSTEK DLA GŁÓWNEJ KOMORY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Jednocześnie kontrola, wielkość cząstek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min.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0,5μm i 5,0μm przy prędkości przepływu 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1,0 CFM (28,3 LPM). Dokładność +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/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-3%. Wyjście Modbus / RS485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lub równoważne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interfejsy komunikacyjne </w:t>
            </w:r>
            <w:r w:rsidR="0019288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 zakresie izolowanych wejść i wyjść cyfrowych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E97C9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 zg</w:t>
            </w:r>
            <w:r w:rsidR="00E97C9A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odny z ISO 21501-4. i JIS B9921 lub równoważnymi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605F1A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Licznik jest zgodny z wymaganiami GMP i jest odpowiedni do monitoro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wania środowisk klasyfikowanych </w:t>
            </w:r>
            <w:r w:rsidR="00605F1A" w:rsidRP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(GMP - wytyczne</w:t>
            </w:r>
            <w:r w:rsidR="00605F1A" w:rsidRP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Unii Europejskiej dotyczące Dobrej Praktyki Wytwarzania - Eudralex The Rules Governing Medicinal Products In the European Union guidelines for Good Manufacturing Practice for Medicinal Produc</w:t>
            </w:r>
            <w:r w:rsid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ts for Human and Veterinary Use)</w:t>
            </w:r>
            <w:r w:rsidR="00605F1A" w:rsidRPr="00605F1A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Konstrukcja ze stali nierdzewnej.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84562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LAMPA UV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84562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Wewnętrzna lampa UV z automatycznym wyłączaniem. Sterowanie i czasomierz światła można ustawić z panelu operatora, aby zaprogramować jego wyłączenie po upływie ustalonego czasu.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DF313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7476A4" w:rsidRDefault="0091718E" w:rsidP="00DF313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OSŁONY NA STRZYKAWKI Z RADIOFARMACEUTYKIEM PET </w:t>
            </w:r>
            <w:r w:rsidR="0084562E"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OSŁONOWY POJEMNIK Z UCHWYTEM DO TRANSPORTU STRZYKAWEK Z RADIOFARMACEUTYKIEM</w:t>
            </w:r>
            <w:r w:rsid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– RAZEM 10 SZT.</w:t>
            </w:r>
            <w:r w:rsid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W TYM: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91718E" w:rsidRDefault="00EB7E02" w:rsidP="00E76415">
            <w:pPr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</w:pPr>
            <w:r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 xml:space="preserve">Osłonowe pojemniki z uchwytem do transportu strzykawek z radiofarmaceutykami </w:t>
            </w:r>
            <w:r w:rsidR="00E76415"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 xml:space="preserve"> współpracujące z dyspenserem i </w:t>
            </w:r>
            <w:r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automatyczną</w:t>
            </w:r>
            <w:r w:rsidR="00E76415"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 xml:space="preserve"> pompą </w:t>
            </w:r>
            <w:r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strzykawkową</w:t>
            </w:r>
            <w:r w:rsidR="00E76415"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 xml:space="preserve"> - 5 szt.</w:t>
            </w:r>
          </w:p>
          <w:p w:rsidR="00E76415" w:rsidRPr="0091718E" w:rsidRDefault="00EB7E02" w:rsidP="00E76415">
            <w:pPr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</w:pPr>
            <w:r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 xml:space="preserve">Osłonowe pojemniki z uchwytem do transportu strzykawek z radiofarmaceutykami  </w:t>
            </w:r>
            <w:r w:rsidR="00E76415"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współpracujące z dyspenserem do podań manualnych - 5 szt.</w:t>
            </w:r>
          </w:p>
          <w:p w:rsidR="0091718E" w:rsidRPr="0091718E" w:rsidRDefault="0091718E" w:rsidP="0091718E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Osłony na  strzykawki z radiofarmaceutykami  PET </w:t>
            </w:r>
            <w:r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lastRenderedPageBreak/>
              <w:t>współpracujące z dyspenserem i dedykowaną automatyczną pompą strzykawkową - 5 szt.</w:t>
            </w:r>
          </w:p>
          <w:p w:rsidR="0091718E" w:rsidRDefault="0091718E" w:rsidP="0091718E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Osłony na  strzykawki z radiofarmaceutykami PET współpracujące z dyspenserem, do podań manualnych  - 5 szt.</w:t>
            </w:r>
          </w:p>
          <w:p w:rsidR="009C7BB7" w:rsidRPr="007476A4" w:rsidRDefault="009C7BB7" w:rsidP="0091718E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9C7BB7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Zamawiający dopuszcza osłonowe pojemniki na strzykawki w kształcie tulei</w:t>
            </w:r>
            <w:r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. </w:t>
            </w:r>
            <w:bookmarkStart w:id="0" w:name="_GoBack"/>
            <w:bookmarkEnd w:id="0"/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7476A4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7476A4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91718E" w:rsidRDefault="00E76415">
            <w:pPr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Wykonane z ołowiu i pokryte</w:t>
            </w:r>
            <w:r w:rsidR="0084562E"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plastikowymi materiałami kompozytowymi wzmacnianymi włóknami </w:t>
            </w:r>
            <w:r w:rsidR="0091718E"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lub z wolframu (ekwiwalent min. 10 mm Pb)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91718E" w:rsidRDefault="0084562E" w:rsidP="00DF3136">
            <w:pPr>
              <w:jc w:val="center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 w:rsid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7476A4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7476A4" w:rsidRDefault="0084562E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84562E" w:rsidRPr="00D67C77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D67C77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trike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D67C77" w:rsidRDefault="0084562E">
            <w:pPr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</w:pPr>
            <w:r w:rsidRPr="00D67C77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Wymiary zewnętrzne 65 x 250 mm (średnica x wysokość) (+/-10%)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D67C77" w:rsidRDefault="0084562E" w:rsidP="00DF3136">
            <w:pPr>
              <w:jc w:val="center"/>
              <w:rPr>
                <w:rFonts w:ascii="Century Gothic" w:hAnsi="Century Gothic" w:cs="Times New Roman"/>
                <w:strike/>
                <w:sz w:val="18"/>
                <w:szCs w:val="18"/>
              </w:rPr>
            </w:pPr>
            <w:r w:rsidRPr="00D67C77">
              <w:rPr>
                <w:rFonts w:ascii="Century Gothic" w:hAnsi="Century Gothic" w:cs="Times New Roman"/>
                <w:strike/>
                <w:sz w:val="18"/>
                <w:szCs w:val="18"/>
              </w:rPr>
              <w:t>TAK</w:t>
            </w:r>
            <w:r w:rsidR="00E76415" w:rsidRPr="00D67C77">
              <w:rPr>
                <w:rFonts w:ascii="Century Gothic" w:hAnsi="Century Gothic" w:cs="Times New Roman"/>
                <w:strike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D67C77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trike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D67C77" w:rsidRDefault="0084562E" w:rsidP="00DF3136">
            <w:pPr>
              <w:jc w:val="center"/>
              <w:rPr>
                <w:rFonts w:ascii="Century Gothic" w:hAnsi="Century Gothic" w:cs="Times New Roman"/>
                <w:strike/>
                <w:sz w:val="18"/>
                <w:szCs w:val="18"/>
              </w:rPr>
            </w:pPr>
            <w:r w:rsidRPr="00D67C77">
              <w:rPr>
                <w:rFonts w:ascii="Century Gothic" w:hAnsi="Century Gothic" w:cs="Times New Roman"/>
                <w:strike/>
                <w:sz w:val="18"/>
                <w:szCs w:val="18"/>
              </w:rPr>
              <w:t>- - -</w:t>
            </w:r>
          </w:p>
        </w:tc>
      </w:tr>
      <w:tr w:rsidR="0084562E" w:rsidRPr="00D67C77" w:rsidTr="00DF313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84562E" w:rsidRPr="00D67C77" w:rsidRDefault="0084562E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trike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84562E" w:rsidRPr="00D67C77" w:rsidRDefault="0084562E">
            <w:pPr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</w:pPr>
            <w:r w:rsidRPr="00D67C77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Masa max. 7 kg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D67C77" w:rsidRDefault="0084562E" w:rsidP="00DF3136">
            <w:pPr>
              <w:jc w:val="center"/>
              <w:rPr>
                <w:rFonts w:ascii="Century Gothic" w:hAnsi="Century Gothic" w:cs="Times New Roman"/>
                <w:strike/>
                <w:sz w:val="18"/>
                <w:szCs w:val="18"/>
              </w:rPr>
            </w:pPr>
            <w:r w:rsidRPr="00D67C77">
              <w:rPr>
                <w:rFonts w:ascii="Century Gothic" w:hAnsi="Century Gothic" w:cs="Times New Roman"/>
                <w:strike/>
                <w:sz w:val="18"/>
                <w:szCs w:val="18"/>
              </w:rPr>
              <w:t>TAK</w:t>
            </w:r>
            <w:r w:rsidR="00E76415" w:rsidRPr="00D67C77">
              <w:rPr>
                <w:rFonts w:ascii="Century Gothic" w:hAnsi="Century Gothic" w:cs="Times New Roman"/>
                <w:strike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4562E" w:rsidRPr="00D67C77" w:rsidRDefault="0084562E" w:rsidP="00DF313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trike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4562E" w:rsidRPr="00D67C77" w:rsidRDefault="0084562E" w:rsidP="00DF3136">
            <w:pPr>
              <w:jc w:val="center"/>
              <w:rPr>
                <w:rFonts w:ascii="Century Gothic" w:hAnsi="Century Gothic" w:cs="Times New Roman"/>
                <w:strike/>
                <w:sz w:val="18"/>
                <w:szCs w:val="18"/>
              </w:rPr>
            </w:pPr>
            <w:r w:rsidRPr="00D67C77">
              <w:rPr>
                <w:rFonts w:ascii="Century Gothic" w:hAnsi="Century Gothic" w:cs="Times New Roman"/>
                <w:strike/>
                <w:sz w:val="18"/>
                <w:szCs w:val="18"/>
              </w:rPr>
              <w:t>- - -</w:t>
            </w: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1362A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7476A4" w:rsidRDefault="00E76415" w:rsidP="00EB7E02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OSŁONOWY POJEMNIK Z UCHWYTEM DO TRANSPORT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U STRZYKAWKIU Z RADIOFARMACEUTYKAMI PET –</w:t>
            </w:r>
            <w:r w:rsidR="00EB7E02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3 SZT.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7476A4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Osłonowy pojemnik z uchwytem do transportu</w:t>
            </w:r>
            <w:r w:rsidR="0091718E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="0091718E"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ekranowanej</w:t>
            </w:r>
            <w:r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 </w:t>
            </w: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strzykawki z radiofarmaceutykami PET </w:t>
            </w:r>
            <w:r w:rsidR="0091718E" w:rsidRPr="0091718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o ekwiwalencie min. 5 mm Pb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 w:rsidRPr="0091718E">
              <w:rPr>
                <w:rFonts w:ascii="Century Gothic" w:hAnsi="Century Gothic" w:cs="Times New Roman"/>
                <w:strike/>
                <w:color w:val="000000"/>
                <w:sz w:val="18"/>
                <w:szCs w:val="18"/>
              </w:rPr>
              <w:t>wykonany z ołowiu</w:t>
            </w:r>
            <w:r w:rsidRPr="007476A4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– 3 szt.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1362A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7476A4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AUTOMATYCZNA POMPA STRZYKAWKOWA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E76415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E76415" w:rsidRPr="007476A4" w:rsidRDefault="00E76415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76415" w:rsidRPr="00E76415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Automatyczna pompa strzykawkowa: </w:t>
            </w:r>
          </w:p>
          <w:p w:rsidR="00E76415" w:rsidRPr="00E76415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współpracująca ze strzykawkami i osłonami stosowanymi w dyspenserze</w:t>
            </w:r>
          </w:p>
          <w:p w:rsidR="00E76415" w:rsidRDefault="00E76415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lastRenderedPageBreak/>
              <w:t xml:space="preserve">-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zapewniony </w:t>
            </w:r>
            <w:r w:rsidRPr="00E76415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dedykowany statyw i osłony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0A4C9F" w:rsidRPr="007476A4" w:rsidRDefault="000A4C9F" w:rsidP="00E76415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0A4C9F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Zamawiający dopuszcza możliwość dostarczenia automatycznej pompy iniekcyjnej /wstrzykiwacza, która będzie współpracowała z kartridżami i osłonami stosowanymi w dyspenserze.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6415" w:rsidRPr="007476A4" w:rsidRDefault="00E76415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76415" w:rsidRPr="007476A4" w:rsidRDefault="00E76415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6F01C3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F01C3" w:rsidRPr="007476A4" w:rsidRDefault="006F01C3" w:rsidP="001362A6">
            <w:pPr>
              <w:spacing w:after="60" w:line="288" w:lineRule="auto"/>
              <w:ind w:left="360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1C3" w:rsidRPr="007476A4" w:rsidRDefault="006F01C3" w:rsidP="001362A6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SUCHY BLOK GRZEJNY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1C3" w:rsidRPr="007476A4" w:rsidRDefault="006F01C3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6F01C3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6F01C3" w:rsidRPr="007476A4" w:rsidRDefault="006F01C3" w:rsidP="00543547">
            <w:pPr>
              <w:pStyle w:val="Akapitzlist"/>
              <w:numPr>
                <w:ilvl w:val="0"/>
                <w:numId w:val="5"/>
              </w:numPr>
              <w:spacing w:line="288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F01C3" w:rsidRP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Suchy blok grzejny: </w:t>
            </w:r>
          </w:p>
          <w:p w:rsidR="006F01C3" w:rsidRP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zakres temperatury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min. 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40 – 120 </w:t>
            </w:r>
            <w:r w:rsidRPr="006F01C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</w:p>
          <w:p w:rsidR="006F01C3" w:rsidRP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- błąd pomiaru/rozdzielczość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max.:  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0,3 </w:t>
            </w:r>
            <w:r w:rsidRPr="006F01C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C/ 0,1 </w:t>
            </w:r>
            <w:r w:rsidRPr="006F01C3">
              <w:rPr>
                <w:rFonts w:ascii="Cambria Math" w:hAnsi="Cambria Math" w:cs="Cambria Math"/>
                <w:color w:val="000000"/>
                <w:sz w:val="18"/>
                <w:szCs w:val="18"/>
              </w:rPr>
              <w:t>⁰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C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,</w:t>
            </w:r>
          </w:p>
          <w:p w:rsid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- 3 bloki wymienne do przystosowania we własnym zakresie </w:t>
            </w:r>
          </w:p>
          <w:p w:rsidR="006F01C3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lub </w:t>
            </w:r>
          </w:p>
          <w:p w:rsidR="006F01C3" w:rsidRPr="007476A4" w:rsidRDefault="006F01C3" w:rsidP="006F01C3">
            <w:pPr>
              <w:rPr>
                <w:rFonts w:ascii="Century Gothic" w:hAnsi="Century Gothic" w:cs="Times New Roman"/>
                <w:color w:val="000000"/>
                <w:sz w:val="18"/>
                <w:szCs w:val="18"/>
              </w:rPr>
            </w:pP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2 bloki wymienne z otworami przystosowanymi do fiolek z zestawów do znakowania radiofarmaceutyków firmy Polatom 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(posiadanymi przez Zamawiającego) 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>oraz do znakowania analogów somatostatyny firmy AAA</w:t>
            </w:r>
            <w:r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(posiadanymi przez Zamawiającego)</w:t>
            </w:r>
            <w:r w:rsidRPr="006F01C3">
              <w:rPr>
                <w:rFonts w:ascii="Century Gothic" w:hAnsi="Century Gothic" w:cs="Times New Roman"/>
                <w:color w:val="000000"/>
                <w:sz w:val="18"/>
                <w:szCs w:val="18"/>
              </w:rPr>
              <w:t xml:space="preserve"> i 1 blok bez otworów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  <w:r>
              <w:rPr>
                <w:rFonts w:ascii="Century Gothic" w:hAnsi="Century Gothic" w:cs="Times New Roman"/>
                <w:sz w:val="18"/>
                <w:szCs w:val="18"/>
              </w:rPr>
              <w:t>, podać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01C3" w:rsidRPr="007476A4" w:rsidRDefault="006F01C3" w:rsidP="001362A6">
            <w:pPr>
              <w:pStyle w:val="TableContents"/>
              <w:snapToGrid w:val="0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F01C3" w:rsidRPr="007476A4" w:rsidRDefault="006F01C3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EECE1" w:themeFill="background2"/>
          </w:tcPr>
          <w:p w:rsidR="007476A4" w:rsidRPr="007476A4" w:rsidRDefault="007476A4" w:rsidP="007476A4">
            <w:pPr>
              <w:rPr>
                <w:rFonts w:ascii="Century Gothic" w:eastAsia="Calibri" w:hAnsi="Century Gothic" w:cs="Times New Roman"/>
                <w:sz w:val="18"/>
                <w:szCs w:val="18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7476A4" w:rsidRDefault="007476A4" w:rsidP="007476A4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7476A4"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  <w:t>INNE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7476A4">
            <w:pPr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7476A4" w:rsidRPr="007476A4" w:rsidRDefault="007476A4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7476A4" w:rsidRDefault="007476A4" w:rsidP="007476A4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7476A4"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  <w:t>Transport krajowy i zagraniczny wraz z ubezpieczeniem, wszelkie opłaty celne, skarbowe oraz inne opłaty pośrednie po stronie wykonawcy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7476A4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7476A4" w:rsidRPr="007476A4" w:rsidRDefault="007476A4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7476A4" w:rsidRDefault="007476A4" w:rsidP="007476A4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7476A4"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  <w:t>Komplet dokumentów i testów, których wykonanie zgodnie z obowiązującymi przepisami leży po stronie dostawcy, a które są niezbędne do odbioru pracowni i urządzenia przez uprawnione instytucje - wymienić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7476A4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EB7E02" w:rsidRPr="007476A4" w:rsidTr="001362A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EB7E02" w:rsidRPr="00EB7E02" w:rsidRDefault="00EB7E02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B7E02" w:rsidRPr="00EB7E02" w:rsidRDefault="00EB7E02" w:rsidP="001362A6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 w:rsidRPr="00EB7E02"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>Należy zabezpieczyć prawidłowe wykonanie testów specjalistycznych (jeżeli wymagane, zgodnie z aktualnie obowiązującymi przepisami prawa)  oraz dopasowanie pracowni do wymogów oferowanego urządzenia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E02" w:rsidRPr="00EB7E02" w:rsidRDefault="00EB7E02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EB7E02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E02" w:rsidRPr="007476A4" w:rsidRDefault="00EB7E02" w:rsidP="001362A6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B7E02" w:rsidRPr="007476A4" w:rsidRDefault="00EB7E02" w:rsidP="001362A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  <w:tr w:rsidR="007476A4" w:rsidRPr="007476A4" w:rsidTr="007476A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</w:tcPr>
          <w:p w:rsidR="007476A4" w:rsidRPr="00EB7E02" w:rsidRDefault="007476A4" w:rsidP="00543547">
            <w:pPr>
              <w:pStyle w:val="Zawartotabeli"/>
              <w:numPr>
                <w:ilvl w:val="0"/>
                <w:numId w:val="5"/>
              </w:numPr>
              <w:snapToGrid w:val="0"/>
              <w:rPr>
                <w:rFonts w:ascii="Century Gothic" w:eastAsia="Calibri" w:hAnsi="Century Gothic"/>
                <w:kern w:val="0"/>
                <w:sz w:val="18"/>
                <w:szCs w:val="18"/>
                <w:lang w:eastAsia="en-US"/>
              </w:rPr>
            </w:pPr>
          </w:p>
        </w:tc>
        <w:tc>
          <w:tcPr>
            <w:tcW w:w="581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76A4" w:rsidRPr="00EB7E02" w:rsidRDefault="00EB7E02" w:rsidP="00EB7E02">
            <w:pPr>
              <w:pStyle w:val="Nagwek1"/>
              <w:widowControl/>
              <w:shd w:val="clear" w:color="auto" w:fill="auto"/>
              <w:suppressAutoHyphens w:val="0"/>
              <w:snapToGrid w:val="0"/>
              <w:ind w:left="0"/>
              <w:rPr>
                <w:rFonts w:ascii="Century Gothic" w:eastAsiaTheme="minorHAnsi" w:hAnsi="Century Gothic"/>
                <w:b w:val="0"/>
                <w:bCs w:val="0"/>
                <w:color w:val="000000"/>
                <w:kern w:val="0"/>
                <w:sz w:val="18"/>
                <w:szCs w:val="18"/>
                <w:lang w:eastAsia="en-US"/>
              </w:rPr>
            </w:pPr>
            <w:r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>Wykonawca jest zobowiązany</w:t>
            </w:r>
            <w:r w:rsidR="007476A4" w:rsidRPr="00EB7E02"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 xml:space="preserve"> zabezpieczyć prawidłowe </w:t>
            </w:r>
            <w:r>
              <w:rPr>
                <w:rFonts w:ascii="Century Gothic" w:eastAsia="Times New Roman" w:hAnsi="Century Gothic" w:cs="Calibri"/>
                <w:b w:val="0"/>
                <w:sz w:val="18"/>
                <w:szCs w:val="18"/>
              </w:rPr>
              <w:t xml:space="preserve">podłączenie oferowanego urządzenia do istniejących warunków infrastruktury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EB7E02" w:rsidRDefault="007476A4" w:rsidP="007476A4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EB7E02">
              <w:rPr>
                <w:rFonts w:ascii="Century Gothic" w:hAnsi="Century Gothic" w:cs="Times New Roman"/>
                <w:sz w:val="18"/>
                <w:szCs w:val="18"/>
              </w:rPr>
              <w:t>TAK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76A4" w:rsidRPr="007476A4" w:rsidRDefault="007476A4" w:rsidP="007476A4">
            <w:pPr>
              <w:pStyle w:val="TableContents"/>
              <w:spacing w:line="360" w:lineRule="auto"/>
              <w:rPr>
                <w:rFonts w:ascii="Century Gothic" w:hAnsi="Century Gothic"/>
                <w:sz w:val="18"/>
                <w:szCs w:val="18"/>
              </w:rPr>
            </w:pPr>
          </w:p>
        </w:tc>
        <w:tc>
          <w:tcPr>
            <w:tcW w:w="2694" w:type="dxa"/>
            <w:tcBorders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476A4" w:rsidRPr="007476A4" w:rsidRDefault="007476A4" w:rsidP="00DF3136">
            <w:pPr>
              <w:jc w:val="center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- - -</w:t>
            </w:r>
          </w:p>
        </w:tc>
      </w:tr>
    </w:tbl>
    <w:p w:rsidR="008A4119" w:rsidRPr="007476A4" w:rsidRDefault="008A4119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p w:rsidR="004B5E68" w:rsidRPr="007476A4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  <w:r w:rsidRPr="007476A4">
        <w:rPr>
          <w:rFonts w:ascii="Century Gothic" w:hAnsi="Century Gothic" w:cs="Times New Roman"/>
          <w:b/>
          <w:color w:val="000000" w:themeColor="text1"/>
          <w:sz w:val="18"/>
          <w:szCs w:val="18"/>
        </w:rPr>
        <w:t>Warunki gwarancji, serwisu i szkolenia</w:t>
      </w:r>
    </w:p>
    <w:p w:rsidR="00912D05" w:rsidRPr="007476A4" w:rsidRDefault="00912D05" w:rsidP="004B5E68">
      <w:pPr>
        <w:spacing w:after="0" w:line="288" w:lineRule="auto"/>
        <w:jc w:val="both"/>
        <w:rPr>
          <w:rFonts w:ascii="Century Gothic" w:hAnsi="Century Gothic" w:cs="Times New Roman"/>
          <w:b/>
          <w:color w:val="000000" w:themeColor="text1"/>
          <w:sz w:val="18"/>
          <w:szCs w:val="18"/>
        </w:rPr>
      </w:pPr>
    </w:p>
    <w:tbl>
      <w:tblPr>
        <w:tblW w:w="146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701"/>
        <w:gridCol w:w="3825"/>
        <w:gridCol w:w="2554"/>
      </w:tblGrid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LP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 w:rsidP="00543547">
            <w:pPr>
              <w:pStyle w:val="Nagwek3"/>
              <w:widowControl/>
              <w:numPr>
                <w:ilvl w:val="2"/>
                <w:numId w:val="3"/>
              </w:numPr>
              <w:shd w:val="clear" w:color="auto" w:fill="auto"/>
              <w:snapToGrid w:val="0"/>
              <w:spacing w:line="276" w:lineRule="auto"/>
              <w:ind w:left="0" w:right="0" w:firstLine="0"/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  <w:lang w:eastAsia="en-US"/>
              </w:rPr>
              <w:t>PARAMETR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WYMAGANY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Parametr oferowany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SPOSÓB OCENY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GWARANCJE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Century Gothic" w:hAnsi="Century Gothic"/>
                <w:color w:val="000000" w:themeColor="text1"/>
                <w:sz w:val="18"/>
                <w:szCs w:val="18"/>
                <w:lang w:eastAsia="en-US"/>
              </w:rPr>
            </w:pP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Okres pełnej, bez wyłączeń gwarancji dla wszystkich zaoferowanych elementów wraz z urządzeniami peryferyjnymi (jeśli dotyczy)[liczba miesięcy]</w:t>
            </w:r>
          </w:p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</w:p>
          <w:p w:rsidR="004B5E68" w:rsidRDefault="004B5E68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i/>
                <w:iCs/>
                <w:color w:val="000000" w:themeColor="text1"/>
                <w:sz w:val="18"/>
                <w:szCs w:val="18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7476A4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Zamawiający zastrzega, że górną granicą punktacji gwarancji będzie 10 lat.</w:t>
            </w:r>
          </w:p>
          <w:p w:rsidR="00D628A7" w:rsidRPr="007476A4" w:rsidRDefault="00D628A7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iCs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806F74" w:rsidP="00806F74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=</w:t>
            </w:r>
            <w:r w:rsidR="00EA2262"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&gt;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 24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Najdłuższy okres – 30 pkt.</w:t>
            </w:r>
          </w:p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Inne – proporcjonalnie mniej względem najdłuższego okresu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117DDC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iCs/>
                <w:sz w:val="18"/>
                <w:szCs w:val="18"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WARUNKI SERWISU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Zdalna diagnostyka przez chronione łącze z możliwością rejestracji i odczytu online rejestrów błędów, oraz monitorowaniem systemu(uwaga – całość ewentualnych prac i wyposażenia sprzętowego, które będzie służyło tej funkcjonalności po stronie wykonawcy)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podać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 – 3 pkt.</w:t>
            </w:r>
          </w:p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nie – 0 pkt.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 cenie oferty -  przeglądy okresowe w okresie gwarancji (w częstotliwości i w zakresie zgodnym z wymogami producenta).</w:t>
            </w:r>
          </w:p>
          <w:p w:rsidR="004B5E68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Obowiązk</w:t>
            </w:r>
            <w:r w:rsidR="000140AE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owy </w:t>
            </w:r>
            <w:r w:rsidR="000140AE" w:rsidRPr="000140A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 xml:space="preserve">w ramach zaoferowanej ceny </w:t>
            </w:r>
            <w:r w:rsidRPr="000140AE">
              <w:rPr>
                <w:rFonts w:ascii="Century Gothic" w:hAnsi="Century Gothic" w:cs="Times New Roman"/>
                <w:strike/>
                <w:color w:val="000000" w:themeColor="text1"/>
                <w:sz w:val="18"/>
                <w:szCs w:val="18"/>
              </w:rPr>
              <w:t xml:space="preserve">bezpłatny 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przegląd z końcem biegu gwarancji</w:t>
            </w:r>
            <w:r w:rsidR="000140AE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  <w:p w:rsidR="000140AE" w:rsidRPr="000140AE" w:rsidRDefault="000140A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FF0000"/>
                <w:sz w:val="18"/>
                <w:szCs w:val="18"/>
              </w:rPr>
            </w:pPr>
            <w:r w:rsidRPr="000140AE">
              <w:rPr>
                <w:rFonts w:ascii="Century Gothic" w:hAnsi="Century Gothic" w:cs="Times New Roman"/>
                <w:color w:val="FF0000"/>
                <w:sz w:val="18"/>
                <w:szCs w:val="18"/>
              </w:rPr>
              <w:t>W ramach zaoferowanej ceny Wykonawca jest zobowiązany do przeprowadzania okresowych wzorcowań miernika aktywności zwanego „kalibratorem dawek” zamontowanego w komorze izolatora, zgodnie z aktualnymi przepisami wykonawczymi do Prawa Atomowego, tj. raz do roku przez laboratorium akredytowane, po 12 i 24 miesiącach trwania gwarancji (jeżeli zaoferowany będzie dłuższy okres gwarancji analogicznie więcej). Dla radionuklidów: I-131, Y-90, Lu-177, Tc-99m, I-123, Ga-68, F-18, Cs-137, Re-186.</w:t>
            </w:r>
          </w:p>
          <w:p w:rsidR="000140AE" w:rsidRPr="007476A4" w:rsidRDefault="000140AE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2D52F1" w:rsidP="00596231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Czas reakcji (dotyczy także reakcji zdalnej): „przyjęte zgłoszenie – podjęta naprawa” =&lt; </w:t>
            </w:r>
            <w:r w:rsidRPr="007476A4">
              <w:rPr>
                <w:rFonts w:ascii="Century Gothic" w:hAnsi="Century Gothic"/>
                <w:sz w:val="18"/>
                <w:szCs w:val="18"/>
              </w:rPr>
              <w:t>48</w:t>
            </w:r>
            <w:r w:rsidRPr="007476A4">
              <w:rPr>
                <w:rFonts w:ascii="Century Gothic" w:hAnsi="Century Gothic"/>
                <w:color w:val="000000"/>
                <w:sz w:val="18"/>
                <w:szCs w:val="18"/>
              </w:rPr>
              <w:t xml:space="preserve"> [godz.]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966B2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966B2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</w:t>
            </w:r>
            <w:r w:rsidR="004B5E68" w:rsidRPr="00966B2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ak</w:t>
            </w:r>
            <w:r w:rsidRPr="00966B2D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, podać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Możliwość zgłoszeń 24h/dobę, 365 dni/rok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>Wymiana każdego podzespołu na nowy po pierwszej  nieskutecznej próbie jego naprawy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5E68" w:rsidRPr="007476A4" w:rsidRDefault="002D52F1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Zakończenie działań serwisowych – do </w:t>
            </w:r>
            <w:r w:rsidRPr="007476A4">
              <w:rPr>
                <w:rFonts w:ascii="Century Gothic" w:eastAsia="Calibri" w:hAnsi="Century Gothic" w:cs="Times New Roman"/>
                <w:sz w:val="18"/>
                <w:szCs w:val="18"/>
              </w:rPr>
              <w:t xml:space="preserve">5 </w:t>
            </w: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zgłoszenia awarii, a w przypadku konieczności importu części zamiennych, nie dłuższym niż </w:t>
            </w:r>
            <w:r w:rsidRPr="007476A4">
              <w:rPr>
                <w:rFonts w:ascii="Century Gothic" w:eastAsia="Calibri" w:hAnsi="Century Gothic" w:cs="Times New Roman"/>
                <w:sz w:val="18"/>
                <w:szCs w:val="18"/>
              </w:rPr>
              <w:t>10</w:t>
            </w:r>
            <w:r w:rsidRPr="007476A4">
              <w:rPr>
                <w:rFonts w:ascii="Century Gothic" w:eastAsia="Calibri" w:hAnsi="Century Gothic" w:cs="Times New Roman"/>
                <w:b/>
                <w:color w:val="FF0000"/>
                <w:sz w:val="18"/>
                <w:szCs w:val="18"/>
              </w:rPr>
              <w:t xml:space="preserve"> </w:t>
            </w: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t xml:space="preserve">dni roboczych od dnia </w:t>
            </w:r>
            <w:r w:rsidRPr="007476A4">
              <w:rPr>
                <w:rFonts w:ascii="Century Gothic" w:eastAsia="Calibri" w:hAnsi="Century Gothic" w:cs="Times New Roman"/>
                <w:color w:val="000000"/>
                <w:sz w:val="18"/>
                <w:szCs w:val="18"/>
              </w:rPr>
              <w:lastRenderedPageBreak/>
              <w:t>zgłoszenia awarii.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pStyle w:val="Lista-kontynuacja24"/>
              <w:snapToGrid w:val="0"/>
              <w:spacing w:after="0" w:line="276" w:lineRule="auto"/>
              <w:ind w:left="0"/>
              <w:jc w:val="both"/>
              <w:rPr>
                <w:rFonts w:ascii="Century Gothic" w:hAnsi="Century Gothic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/>
                <w:color w:val="000000" w:themeColor="text1"/>
                <w:sz w:val="18"/>
                <w:szCs w:val="18"/>
              </w:rPr>
              <w:t xml:space="preserve">Sprzęt/y będzie/będą pozbawione haseł, kodów, blokad serwisowych, itp., które po upływie gwarancji utrudniałyby Zamawiającemu dostęp do opcji serwisowych lub naprawę sprzętu/ów przez inny niż Wykonawca umowy podmiot, w przypadku nie korzystania przez zamawiającego z serwisu pogwarancyjnego Wykonawcy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4B5E68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68" w:rsidRPr="007476A4" w:rsidRDefault="004B5E68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E68" w:rsidRPr="007476A4" w:rsidRDefault="004B5E68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SZKOLENIA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5E68" w:rsidRPr="007476A4" w:rsidRDefault="004B5E68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>Szkolenia dla personelu  medycznego z zakresu obsługi urządzenia (min. 1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0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osób z możliwością podziału i szkolenia w mniejszych podgrupach) w momencie jego instalacji i odbioru; w razie potrzeby Zamawiającego, możliwość stałego wsparcia ap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likacyjnego w początkowym (do 6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> -ciu miesięcy) okresie pracy urządzeń (dodatkowe szkolenie, dodatkowa grupa osób, konsultacje, itp.)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DF313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technicznego (min. 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2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osoby) z zakresu podstawowej diagnostyki stanu technicznego i wykonywania podstawowych czynności konserwacyjnych, diagnostycznych i przeglądowych; w razie potrzeby możliwość stałego wsparcia aplikacyjnego w początkowym (do 6-iu miesięcy) okresie pracy urządzeń (dodatkowe szkolenie, dodatkowa grupa osób, konsultacje, itp.)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DF313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596231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Szkolenia dla personelu informatycznego umożliwiania zdalnej diagnostyki, wymagań konferencyjnych, wpięcia urządzenia w system gromadzenia dokumentacji </w:t>
            </w:r>
            <w:r w:rsidRPr="00430DE6">
              <w:rPr>
                <w:rFonts w:ascii="Century Gothic" w:hAnsi="Century Gothic" w:cs="Times New Roman"/>
                <w:strike/>
                <w:sz w:val="18"/>
                <w:szCs w:val="18"/>
              </w:rPr>
              <w:t>medycznej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szpitala, 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lastRenderedPageBreak/>
              <w:t xml:space="preserve">diagnostyki i konfiguracji (min. </w:t>
            </w:r>
            <w:r w:rsidR="00596231" w:rsidRPr="007476A4">
              <w:rPr>
                <w:rFonts w:ascii="Century Gothic" w:hAnsi="Century Gothic" w:cs="Times New Roman"/>
                <w:sz w:val="18"/>
                <w:szCs w:val="18"/>
              </w:rPr>
              <w:t>2</w:t>
            </w:r>
            <w:r w:rsidRPr="007476A4">
              <w:rPr>
                <w:rFonts w:ascii="Century Gothic" w:hAnsi="Century Gothic" w:cs="Times New Roman"/>
                <w:sz w:val="18"/>
                <w:szCs w:val="18"/>
              </w:rPr>
              <w:t xml:space="preserve"> osoby)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lastRenderedPageBreak/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DF3136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DF3136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Liczba i okres szkoleń:</w:t>
            </w:r>
          </w:p>
          <w:p w:rsidR="00912D05" w:rsidRPr="007476A4" w:rsidRDefault="00912D05" w:rsidP="00543547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pierwsze szkolenie - tuż po instalacji systemu, w wymiarze do 2 dni roboczych </w:t>
            </w:r>
          </w:p>
          <w:p w:rsidR="00912D05" w:rsidRPr="007476A4" w:rsidRDefault="00912D05" w:rsidP="00543547">
            <w:pPr>
              <w:numPr>
                <w:ilvl w:val="0"/>
                <w:numId w:val="7"/>
              </w:numPr>
              <w:tabs>
                <w:tab w:val="num" w:pos="720"/>
              </w:tabs>
              <w:spacing w:after="0" w:line="240" w:lineRule="auto"/>
              <w:ind w:left="0" w:firstLine="0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dodatkowe, w razie potrze</w:t>
            </w:r>
            <w:r w:rsidR="008A4119"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 xml:space="preserve">by, w innym terminie ustalonym </w:t>
            </w: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kierownikiem pracowni,</w:t>
            </w:r>
          </w:p>
          <w:p w:rsidR="00912D05" w:rsidRPr="007476A4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rPr>
          <w:trHeight w:val="3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b/>
                <w:bCs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b/>
                <w:bCs/>
                <w:color w:val="000000" w:themeColor="text1"/>
                <w:sz w:val="18"/>
                <w:szCs w:val="18"/>
              </w:rPr>
              <w:t>DOKUMENTACJA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b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2D05" w:rsidRPr="007476A4" w:rsidRDefault="00912D05" w:rsidP="008A4119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  <w:r w:rsidR="00585E4F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.</w:t>
            </w:r>
          </w:p>
          <w:p w:rsidR="00585E4F" w:rsidRPr="007476A4" w:rsidRDefault="00585E4F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585E4F">
              <w:rPr>
                <w:rFonts w:ascii="Century Gothic" w:eastAsia="Calibri" w:hAnsi="Century Gothic" w:cs="Times New Roman"/>
                <w:color w:val="FF0000"/>
                <w:sz w:val="18"/>
                <w:szCs w:val="18"/>
                <w:lang w:eastAsia="ar-SA"/>
              </w:rPr>
              <w:t>Wymagane jest w ramach zaoferowanej ceny dostarczenie zestawów startowych w przypadku materiałów zużywalnych, tak aby prawidłowo uruchomić zainstalowany sprzęt oraz przeprowadzić szkolenia.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Dokumentacja (lub tzw. lista kontrolna zawierająca wykaz części i czynności) dotycząca przeglądów technicznych w języku polskim (dostarczona przy dostawie)</w:t>
            </w:r>
          </w:p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UWAGA – dokumentacja musi zapewnić co najmniej pełną diagnostykę urządzenia, wykonywanie drobnych napraw, regulacji, kalibracji, oraz przeglądów okresowych w standardzie wymaganym przez producenta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  <w:tr w:rsidR="00912D05" w:rsidRPr="007476A4" w:rsidTr="00374146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 w:rsidP="00543547">
            <w:pPr>
              <w:pStyle w:val="Akapitzlist"/>
              <w:numPr>
                <w:ilvl w:val="0"/>
                <w:numId w:val="4"/>
              </w:numPr>
              <w:spacing w:before="100" w:beforeAutospacing="1" w:after="100" w:afterAutospacing="1" w:line="288" w:lineRule="auto"/>
              <w:ind w:left="0" w:firstLine="0"/>
              <w:jc w:val="center"/>
              <w:rPr>
                <w:rFonts w:ascii="Century Gothic" w:hAnsi="Century Gothic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2D05" w:rsidRPr="007476A4" w:rsidRDefault="00912D05">
            <w:pPr>
              <w:spacing w:after="0" w:line="240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Możliwość mycia i dezynfekcji poszczególnych elementów aparatów w oparciu o przedstawione przez wykonawcę zalecane preparaty myjące i dezynfekujące.</w:t>
            </w:r>
          </w:p>
          <w:p w:rsidR="00912D05" w:rsidRPr="007476A4" w:rsidRDefault="00912D05">
            <w:pPr>
              <w:widowControl w:val="0"/>
              <w:suppressAutoHyphens/>
              <w:spacing w:after="0" w:line="240" w:lineRule="auto"/>
              <w:jc w:val="both"/>
              <w:rPr>
                <w:rFonts w:ascii="Century Gothic" w:eastAsia="Calibri" w:hAnsi="Century Gothic" w:cs="Times New Roman"/>
                <w:i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i/>
                <w:color w:val="000000" w:themeColor="text1"/>
                <w:sz w:val="18"/>
                <w:szCs w:val="18"/>
              </w:rPr>
              <w:t>UWAGA – zalecane środki powinny zawierać nazwy związków chemicznych, a nie tylko nazwy handlowe preparatów.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Tak</w:t>
            </w:r>
          </w:p>
        </w:tc>
        <w:tc>
          <w:tcPr>
            <w:tcW w:w="3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2D05" w:rsidRPr="007476A4" w:rsidRDefault="00912D0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Century Gothic" w:eastAsia="Calibri" w:hAnsi="Century Gothic" w:cs="Times New Roman"/>
                <w:color w:val="000000" w:themeColor="text1"/>
                <w:sz w:val="18"/>
                <w:szCs w:val="18"/>
                <w:lang w:eastAsia="ar-SA"/>
              </w:rPr>
            </w:pPr>
            <w:r w:rsidRPr="007476A4">
              <w:rPr>
                <w:rFonts w:ascii="Century Gothic" w:hAnsi="Century Gothic" w:cs="Times New Roman"/>
                <w:color w:val="000000" w:themeColor="text1"/>
                <w:sz w:val="18"/>
                <w:szCs w:val="18"/>
              </w:rPr>
              <w:t>- - -</w:t>
            </w:r>
          </w:p>
        </w:tc>
      </w:tr>
    </w:tbl>
    <w:p w:rsidR="004B5E68" w:rsidRPr="007476A4" w:rsidRDefault="004B5E68" w:rsidP="004B5E68">
      <w:pPr>
        <w:spacing w:after="0" w:line="288" w:lineRule="auto"/>
        <w:rPr>
          <w:rFonts w:ascii="Century Gothic" w:eastAsia="Calibri" w:hAnsi="Century Gothic" w:cs="Times New Roman"/>
          <w:b/>
          <w:color w:val="000000" w:themeColor="text1"/>
          <w:sz w:val="18"/>
          <w:szCs w:val="18"/>
          <w:lang w:eastAsia="ar-SA"/>
        </w:rPr>
      </w:pPr>
    </w:p>
    <w:p w:rsidR="00D73EB9" w:rsidRPr="007476A4" w:rsidRDefault="00D73EB9" w:rsidP="004B5E68">
      <w:pPr>
        <w:spacing w:after="0" w:line="288" w:lineRule="auto"/>
        <w:jc w:val="both"/>
        <w:rPr>
          <w:rFonts w:ascii="Century Gothic" w:hAnsi="Century Gothic" w:cs="Times New Roman"/>
          <w:b/>
          <w:sz w:val="18"/>
          <w:szCs w:val="18"/>
        </w:rPr>
      </w:pPr>
    </w:p>
    <w:sectPr w:rsidR="00D73EB9" w:rsidRPr="007476A4" w:rsidSect="00A609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00E3" w:rsidRDefault="009F00E3" w:rsidP="002B10C5">
      <w:pPr>
        <w:spacing w:after="0" w:line="240" w:lineRule="auto"/>
      </w:pPr>
      <w:r>
        <w:separator/>
      </w:r>
    </w:p>
  </w:endnote>
  <w:endnote w:type="continuationSeparator" w:id="0">
    <w:p w:rsidR="009F00E3" w:rsidRDefault="009F00E3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179" w:rsidRDefault="00F321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9432453"/>
      <w:docPartObj>
        <w:docPartGallery w:val="Page Numbers (Bottom of Page)"/>
        <w:docPartUnique/>
      </w:docPartObj>
    </w:sdtPr>
    <w:sdtEndPr/>
    <w:sdtContent>
      <w:p w:rsidR="000D37FA" w:rsidRDefault="000D37F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7BB7">
          <w:rPr>
            <w:noProof/>
          </w:rPr>
          <w:t>11</w:t>
        </w:r>
        <w:r>
          <w:fldChar w:fldCharType="end"/>
        </w:r>
      </w:p>
    </w:sdtContent>
  </w:sdt>
  <w:p w:rsidR="000D37FA" w:rsidRDefault="000D37F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179" w:rsidRDefault="00F321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00E3" w:rsidRDefault="009F00E3" w:rsidP="002B10C5">
      <w:pPr>
        <w:spacing w:after="0" w:line="240" w:lineRule="auto"/>
      </w:pPr>
      <w:r>
        <w:separator/>
      </w:r>
    </w:p>
  </w:footnote>
  <w:footnote w:type="continuationSeparator" w:id="0">
    <w:p w:rsidR="009F00E3" w:rsidRDefault="009F00E3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179" w:rsidRDefault="00F3217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37FA" w:rsidRDefault="000D37FA" w:rsidP="008A4119">
    <w:pPr>
      <w:pStyle w:val="Nagwek"/>
      <w:jc w:val="center"/>
      <w:rPr>
        <w:sz w:val="18"/>
        <w:szCs w:val="18"/>
      </w:rPr>
    </w:pPr>
    <w:r>
      <w:rPr>
        <w:noProof/>
        <w:sz w:val="18"/>
        <w:szCs w:val="18"/>
      </w:rPr>
      <w:drawing>
        <wp:inline distT="0" distB="0" distL="0" distR="0" wp14:anchorId="67E2210F" wp14:editId="691B27F8">
          <wp:extent cx="7578090" cy="742950"/>
          <wp:effectExtent l="0" t="0" r="381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0D37FA" w:rsidRPr="00A60903" w:rsidRDefault="000D37FA" w:rsidP="00F32179">
    <w:pPr>
      <w:pStyle w:val="Tytu"/>
      <w:spacing w:line="288" w:lineRule="auto"/>
      <w:ind w:right="-597"/>
      <w:jc w:val="left"/>
      <w:rPr>
        <w:rFonts w:ascii="Century Gothic" w:hAnsi="Century Gothic"/>
        <w:b w:val="0"/>
        <w:sz w:val="18"/>
        <w:szCs w:val="18"/>
      </w:rPr>
    </w:pPr>
    <w:r w:rsidRPr="00A60903">
      <w:rPr>
        <w:rFonts w:ascii="Century Gothic" w:hAnsi="Century Gothic"/>
        <w:b w:val="0"/>
        <w:sz w:val="18"/>
        <w:szCs w:val="18"/>
      </w:rPr>
      <w:t>NSSU.DFP.271.</w:t>
    </w:r>
    <w:r>
      <w:rPr>
        <w:rFonts w:ascii="Century Gothic" w:hAnsi="Century Gothic"/>
        <w:b w:val="0"/>
        <w:sz w:val="18"/>
        <w:szCs w:val="18"/>
      </w:rPr>
      <w:t xml:space="preserve">36.2018.KK </w:t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</w:r>
    <w:r>
      <w:rPr>
        <w:rFonts w:ascii="Century Gothic" w:hAnsi="Century Gothic"/>
        <w:b w:val="0"/>
        <w:sz w:val="18"/>
        <w:szCs w:val="18"/>
      </w:rPr>
      <w:tab/>
      <w:t xml:space="preserve">     </w:t>
    </w:r>
    <w:r w:rsidR="00F32179">
      <w:rPr>
        <w:rFonts w:ascii="Century Gothic" w:hAnsi="Century Gothic"/>
        <w:b w:val="0"/>
        <w:sz w:val="18"/>
        <w:szCs w:val="18"/>
      </w:rPr>
      <w:t xml:space="preserve">         </w:t>
    </w:r>
    <w:r>
      <w:rPr>
        <w:rFonts w:ascii="Century Gothic" w:hAnsi="Century Gothic"/>
        <w:b w:val="0"/>
        <w:sz w:val="18"/>
        <w:szCs w:val="18"/>
      </w:rPr>
      <w:t xml:space="preserve"> </w:t>
    </w:r>
    <w:r w:rsidR="00F32179">
      <w:rPr>
        <w:rFonts w:ascii="Century Gothic" w:hAnsi="Century Gothic"/>
        <w:b w:val="0"/>
        <w:sz w:val="18"/>
        <w:szCs w:val="18"/>
      </w:rPr>
      <w:t xml:space="preserve"> </w:t>
    </w:r>
    <w:r w:rsidRPr="00A60903">
      <w:rPr>
        <w:rFonts w:ascii="Century Gothic" w:hAnsi="Century Gothic"/>
        <w:b w:val="0"/>
        <w:sz w:val="18"/>
        <w:szCs w:val="18"/>
      </w:rPr>
      <w:t>Załącznik nr 1 do specyfikacji</w:t>
    </w:r>
    <w:r>
      <w:rPr>
        <w:rFonts w:ascii="Century Gothic" w:hAnsi="Century Gothic"/>
        <w:b w:val="0"/>
        <w:sz w:val="18"/>
        <w:szCs w:val="18"/>
      </w:rPr>
      <w:t xml:space="preserve"> po zmianach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179" w:rsidRDefault="00F321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C013FCF"/>
    <w:multiLevelType w:val="hybridMultilevel"/>
    <w:tmpl w:val="755A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F65E6"/>
    <w:multiLevelType w:val="hybridMultilevel"/>
    <w:tmpl w:val="15AE01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7A6"/>
    <w:rsid w:val="0001385B"/>
    <w:rsid w:val="000140AE"/>
    <w:rsid w:val="00057559"/>
    <w:rsid w:val="00062621"/>
    <w:rsid w:val="0007474D"/>
    <w:rsid w:val="00082567"/>
    <w:rsid w:val="00084A56"/>
    <w:rsid w:val="000872C6"/>
    <w:rsid w:val="000A01C5"/>
    <w:rsid w:val="000A42E2"/>
    <w:rsid w:val="000A4C9F"/>
    <w:rsid w:val="000A70CE"/>
    <w:rsid w:val="000D37FA"/>
    <w:rsid w:val="00106FA1"/>
    <w:rsid w:val="00117DDC"/>
    <w:rsid w:val="001362A6"/>
    <w:rsid w:val="00140F74"/>
    <w:rsid w:val="00153000"/>
    <w:rsid w:val="00192883"/>
    <w:rsid w:val="00195D24"/>
    <w:rsid w:val="00226290"/>
    <w:rsid w:val="00226C7E"/>
    <w:rsid w:val="00243375"/>
    <w:rsid w:val="00277FF5"/>
    <w:rsid w:val="002B10C5"/>
    <w:rsid w:val="002B6545"/>
    <w:rsid w:val="002B7EF9"/>
    <w:rsid w:val="002C45C1"/>
    <w:rsid w:val="002D52F1"/>
    <w:rsid w:val="002E7641"/>
    <w:rsid w:val="0031723C"/>
    <w:rsid w:val="0035006A"/>
    <w:rsid w:val="003502EB"/>
    <w:rsid w:val="00374146"/>
    <w:rsid w:val="003816D4"/>
    <w:rsid w:val="00386BDE"/>
    <w:rsid w:val="004145BF"/>
    <w:rsid w:val="00420195"/>
    <w:rsid w:val="00430D65"/>
    <w:rsid w:val="00430DE6"/>
    <w:rsid w:val="00431206"/>
    <w:rsid w:val="004537A6"/>
    <w:rsid w:val="004A3639"/>
    <w:rsid w:val="004A4815"/>
    <w:rsid w:val="004B5E68"/>
    <w:rsid w:val="004D0BBF"/>
    <w:rsid w:val="004E2ABC"/>
    <w:rsid w:val="004F3CBA"/>
    <w:rsid w:val="005019B3"/>
    <w:rsid w:val="00505CFB"/>
    <w:rsid w:val="00536CB8"/>
    <w:rsid w:val="0054189C"/>
    <w:rsid w:val="00543547"/>
    <w:rsid w:val="0055762C"/>
    <w:rsid w:val="00585E4F"/>
    <w:rsid w:val="00595A76"/>
    <w:rsid w:val="00596231"/>
    <w:rsid w:val="005B49CB"/>
    <w:rsid w:val="006004C3"/>
    <w:rsid w:val="00605F1A"/>
    <w:rsid w:val="00617EC5"/>
    <w:rsid w:val="006309BF"/>
    <w:rsid w:val="006E090E"/>
    <w:rsid w:val="006F01C3"/>
    <w:rsid w:val="00716F0E"/>
    <w:rsid w:val="00726396"/>
    <w:rsid w:val="007475D7"/>
    <w:rsid w:val="007476A4"/>
    <w:rsid w:val="00797D2F"/>
    <w:rsid w:val="007B4693"/>
    <w:rsid w:val="007D2398"/>
    <w:rsid w:val="007D544F"/>
    <w:rsid w:val="008028E8"/>
    <w:rsid w:val="00806F74"/>
    <w:rsid w:val="008146EE"/>
    <w:rsid w:val="0084562E"/>
    <w:rsid w:val="00852D15"/>
    <w:rsid w:val="00877102"/>
    <w:rsid w:val="008A4119"/>
    <w:rsid w:val="008A7106"/>
    <w:rsid w:val="008E4B96"/>
    <w:rsid w:val="00912D05"/>
    <w:rsid w:val="0091718E"/>
    <w:rsid w:val="009319E1"/>
    <w:rsid w:val="0093379E"/>
    <w:rsid w:val="00960A4A"/>
    <w:rsid w:val="00966B2D"/>
    <w:rsid w:val="00971849"/>
    <w:rsid w:val="00984712"/>
    <w:rsid w:val="009A662D"/>
    <w:rsid w:val="009B0ED9"/>
    <w:rsid w:val="009C7BB7"/>
    <w:rsid w:val="009D6485"/>
    <w:rsid w:val="009F00E3"/>
    <w:rsid w:val="00A37445"/>
    <w:rsid w:val="00A52B16"/>
    <w:rsid w:val="00A60903"/>
    <w:rsid w:val="00A76007"/>
    <w:rsid w:val="00A8133F"/>
    <w:rsid w:val="00A90255"/>
    <w:rsid w:val="00A93EEA"/>
    <w:rsid w:val="00AE7F64"/>
    <w:rsid w:val="00AF7709"/>
    <w:rsid w:val="00B009C9"/>
    <w:rsid w:val="00B3317A"/>
    <w:rsid w:val="00B33D13"/>
    <w:rsid w:val="00B425B1"/>
    <w:rsid w:val="00B61A26"/>
    <w:rsid w:val="00B72884"/>
    <w:rsid w:val="00B935A3"/>
    <w:rsid w:val="00B95922"/>
    <w:rsid w:val="00BA29CF"/>
    <w:rsid w:val="00BD5FB9"/>
    <w:rsid w:val="00BD6659"/>
    <w:rsid w:val="00BE7B7B"/>
    <w:rsid w:val="00C10E44"/>
    <w:rsid w:val="00C2669F"/>
    <w:rsid w:val="00C278BB"/>
    <w:rsid w:val="00C567EE"/>
    <w:rsid w:val="00C62F9D"/>
    <w:rsid w:val="00C64C0B"/>
    <w:rsid w:val="00C75220"/>
    <w:rsid w:val="00D177DD"/>
    <w:rsid w:val="00D31DA0"/>
    <w:rsid w:val="00D628A7"/>
    <w:rsid w:val="00D6776D"/>
    <w:rsid w:val="00D67C77"/>
    <w:rsid w:val="00D73EB9"/>
    <w:rsid w:val="00D81DC0"/>
    <w:rsid w:val="00D93C7F"/>
    <w:rsid w:val="00DA12A3"/>
    <w:rsid w:val="00DA1FA2"/>
    <w:rsid w:val="00DC262D"/>
    <w:rsid w:val="00DC7F16"/>
    <w:rsid w:val="00DF3136"/>
    <w:rsid w:val="00E25CCA"/>
    <w:rsid w:val="00E2786E"/>
    <w:rsid w:val="00E50DAF"/>
    <w:rsid w:val="00E50E99"/>
    <w:rsid w:val="00E55BC8"/>
    <w:rsid w:val="00E76415"/>
    <w:rsid w:val="00E870DD"/>
    <w:rsid w:val="00E9372B"/>
    <w:rsid w:val="00E97C9A"/>
    <w:rsid w:val="00EA2262"/>
    <w:rsid w:val="00EA6DEC"/>
    <w:rsid w:val="00EB7E02"/>
    <w:rsid w:val="00EC6DB9"/>
    <w:rsid w:val="00EC7C3F"/>
    <w:rsid w:val="00EE7E92"/>
    <w:rsid w:val="00EF1ACA"/>
    <w:rsid w:val="00EF3E66"/>
    <w:rsid w:val="00F17A3E"/>
    <w:rsid w:val="00F32179"/>
    <w:rsid w:val="00F34EF1"/>
    <w:rsid w:val="00F504BF"/>
    <w:rsid w:val="00F65B8E"/>
    <w:rsid w:val="00F96794"/>
    <w:rsid w:val="00FA2BC1"/>
    <w:rsid w:val="00FE77DD"/>
    <w:rsid w:val="00FF3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92E652"/>
  <w15:docId w15:val="{B8A7CA17-FEA5-4319-9ECC-61180943B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uiPriority w:val="9"/>
    <w:qFormat/>
    <w:rsid w:val="007476A4"/>
    <w:pPr>
      <w:tabs>
        <w:tab w:val="num" w:pos="0"/>
      </w:tabs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6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  <w:style w:type="character" w:customStyle="1" w:styleId="Nagwek6Znak">
    <w:name w:val="Nagłówek 6 Znak"/>
    <w:basedOn w:val="Domylnaczcionkaakapitu"/>
    <w:link w:val="Nagwek6"/>
    <w:uiPriority w:val="9"/>
    <w:rsid w:val="007476A4"/>
    <w:rPr>
      <w:rFonts w:ascii="Times New Roman" w:eastAsia="Times New Roman" w:hAnsi="Times New Roman" w:cs="Times New Roman"/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4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E082E-08BD-44EA-9D69-30D7BCCCC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18</Pages>
  <Words>3137</Words>
  <Characters>18824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Katarzyna Kowalczyk</cp:lastModifiedBy>
  <cp:revision>33</cp:revision>
  <cp:lastPrinted>2018-03-16T13:18:00Z</cp:lastPrinted>
  <dcterms:created xsi:type="dcterms:W3CDTF">2019-02-19T06:32:00Z</dcterms:created>
  <dcterms:modified xsi:type="dcterms:W3CDTF">2019-02-20T12:27:00Z</dcterms:modified>
</cp:coreProperties>
</file>