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D7B86" w14:textId="77777777" w:rsidR="002669ED" w:rsidRDefault="002669ED" w:rsidP="002669ED">
      <w:pPr>
        <w:jc w:val="center"/>
        <w:rPr>
          <w:rFonts w:ascii="Garamond" w:eastAsia="Times New Roman" w:hAnsi="Garamond"/>
          <w:sz w:val="22"/>
          <w:szCs w:val="32"/>
        </w:rPr>
      </w:pPr>
    </w:p>
    <w:p w14:paraId="7CA8A78E" w14:textId="77777777" w:rsidR="002669ED" w:rsidRDefault="008E601B" w:rsidP="008E601B">
      <w:pPr>
        <w:jc w:val="right"/>
        <w:rPr>
          <w:rFonts w:ascii="Garamond" w:eastAsia="Times New Roman" w:hAnsi="Garamond"/>
          <w:sz w:val="22"/>
          <w:szCs w:val="32"/>
        </w:rPr>
      </w:pPr>
      <w:r>
        <w:rPr>
          <w:rFonts w:ascii="Garamond" w:eastAsia="Times New Roman" w:hAnsi="Garamond"/>
          <w:sz w:val="22"/>
          <w:szCs w:val="32"/>
        </w:rPr>
        <w:t xml:space="preserve">Załącznik nr </w:t>
      </w:r>
      <w:r w:rsidR="006103DF">
        <w:rPr>
          <w:rFonts w:ascii="Garamond" w:eastAsia="Times New Roman" w:hAnsi="Garamond"/>
          <w:sz w:val="22"/>
          <w:szCs w:val="32"/>
        </w:rPr>
        <w:t>10</w:t>
      </w:r>
    </w:p>
    <w:p w14:paraId="6D30F7A8" w14:textId="77777777" w:rsidR="002669ED" w:rsidRPr="007E355E" w:rsidRDefault="007E355E" w:rsidP="007E355E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>
        <w:rPr>
          <w:rFonts w:ascii="Garamond" w:hAnsi="Garamond"/>
          <w:b/>
          <w:color w:val="002060"/>
          <w:sz w:val="22"/>
          <w:szCs w:val="22"/>
        </w:rPr>
        <w:t>t</w:t>
      </w:r>
      <w:r w:rsidR="002669ED" w:rsidRPr="007E355E">
        <w:rPr>
          <w:rFonts w:ascii="Garamond" w:hAnsi="Garamond"/>
          <w:b/>
          <w:color w:val="002060"/>
          <w:sz w:val="22"/>
          <w:szCs w:val="22"/>
        </w:rPr>
        <w:t>est</w:t>
      </w:r>
      <w:r w:rsidRPr="007E355E">
        <w:rPr>
          <w:rFonts w:ascii="Garamond" w:hAnsi="Garamond"/>
          <w:b/>
          <w:color w:val="002060"/>
          <w:sz w:val="22"/>
          <w:szCs w:val="22"/>
        </w:rPr>
        <w:t>u immunoenzymatycznego</w:t>
      </w:r>
      <w:r w:rsidR="002669ED" w:rsidRPr="007E355E">
        <w:rPr>
          <w:rFonts w:ascii="Garamond" w:hAnsi="Garamond"/>
          <w:b/>
          <w:color w:val="002060"/>
          <w:sz w:val="22"/>
          <w:szCs w:val="22"/>
        </w:rPr>
        <w:t xml:space="preserve"> in vitro do oznaczania przeciwciał anty-</w:t>
      </w:r>
      <w:proofErr w:type="spellStart"/>
      <w:r w:rsidR="002669ED" w:rsidRPr="007E355E">
        <w:rPr>
          <w:rFonts w:ascii="Garamond" w:hAnsi="Garamond"/>
          <w:b/>
          <w:color w:val="002060"/>
          <w:sz w:val="22"/>
          <w:szCs w:val="22"/>
        </w:rPr>
        <w:t>Parvowirus</w:t>
      </w:r>
      <w:proofErr w:type="spellEnd"/>
      <w:r w:rsidR="002669ED" w:rsidRPr="007E355E">
        <w:rPr>
          <w:rFonts w:ascii="Garamond" w:hAnsi="Garamond"/>
          <w:b/>
          <w:color w:val="002060"/>
          <w:sz w:val="22"/>
          <w:szCs w:val="22"/>
        </w:rPr>
        <w:t xml:space="preserve"> B19 </w:t>
      </w:r>
      <w:proofErr w:type="spellStart"/>
      <w:r w:rsidR="002669ED" w:rsidRPr="007E355E">
        <w:rPr>
          <w:rFonts w:ascii="Garamond" w:hAnsi="Garamond"/>
          <w:b/>
          <w:color w:val="002060"/>
          <w:sz w:val="22"/>
          <w:szCs w:val="22"/>
        </w:rPr>
        <w:t>IgM</w:t>
      </w:r>
      <w:proofErr w:type="spellEnd"/>
      <w:r w:rsidR="002669ED" w:rsidRPr="007E355E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Pr="007E355E">
        <w:rPr>
          <w:rFonts w:ascii="Garamond" w:hAnsi="Garamond"/>
          <w:b/>
          <w:color w:val="002060"/>
          <w:sz w:val="22"/>
          <w:szCs w:val="22"/>
        </w:rPr>
        <w:t xml:space="preserve"> </w:t>
      </w:r>
      <w:r w:rsidR="002669ED" w:rsidRPr="007E355E">
        <w:rPr>
          <w:rFonts w:ascii="Garamond" w:hAnsi="Garamond"/>
          <w:b/>
          <w:color w:val="002060"/>
          <w:sz w:val="22"/>
          <w:szCs w:val="22"/>
        </w:rPr>
        <w:t>(jakościowo) w ludzkiej surowicy lub osoczu</w:t>
      </w:r>
    </w:p>
    <w:p w14:paraId="0A99D8A7" w14:textId="77777777" w:rsidR="007E355E" w:rsidRDefault="007E355E" w:rsidP="007E355E">
      <w:pPr>
        <w:jc w:val="center"/>
        <w:rPr>
          <w:rFonts w:ascii="Garamond" w:hAnsi="Garamond"/>
          <w:b/>
          <w:color w:val="002060"/>
          <w:sz w:val="22"/>
          <w:szCs w:val="22"/>
        </w:rPr>
      </w:pPr>
    </w:p>
    <w:p w14:paraId="4B193271" w14:textId="77777777" w:rsidR="007E355E" w:rsidRPr="007E355E" w:rsidRDefault="007E355E" w:rsidP="007E355E">
      <w:pPr>
        <w:jc w:val="center"/>
        <w:rPr>
          <w:rFonts w:ascii="Garamond" w:hAnsi="Garamond"/>
          <w:b/>
          <w:color w:val="002060"/>
          <w:sz w:val="22"/>
          <w:szCs w:val="22"/>
        </w:rPr>
      </w:pPr>
      <w:r w:rsidRPr="007E355E">
        <w:rPr>
          <w:rFonts w:ascii="Garamond" w:hAnsi="Garamond"/>
          <w:b/>
          <w:color w:val="002060"/>
          <w:sz w:val="22"/>
          <w:szCs w:val="22"/>
        </w:rPr>
        <w:t>Część 14 poz. 1</w:t>
      </w:r>
    </w:p>
    <w:p w14:paraId="20B10699" w14:textId="77777777" w:rsidR="002669ED" w:rsidRPr="007E355E" w:rsidRDefault="002669ED" w:rsidP="002669ED">
      <w:pPr>
        <w:jc w:val="center"/>
        <w:rPr>
          <w:rFonts w:ascii="Garamond" w:hAnsi="Garamond"/>
          <w:b/>
          <w:color w:val="00206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7207"/>
        <w:gridCol w:w="2431"/>
      </w:tblGrid>
      <w:tr w:rsidR="007E355E" w:rsidRPr="002669ED" w14:paraId="6F92FEA0" w14:textId="77777777" w:rsidTr="007E355E">
        <w:trPr>
          <w:trHeight w:val="759"/>
        </w:trPr>
        <w:tc>
          <w:tcPr>
            <w:tcW w:w="0" w:type="auto"/>
            <w:shd w:val="clear" w:color="auto" w:fill="auto"/>
            <w:vAlign w:val="center"/>
          </w:tcPr>
          <w:p w14:paraId="4256E47D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1A885F23" w14:textId="77777777" w:rsidR="007E355E" w:rsidRPr="00C50CE9" w:rsidRDefault="007E355E" w:rsidP="007E355E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CB67F61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004198E3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2669ED" w:rsidRPr="002669ED" w14:paraId="2C6B58A8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53F28E0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1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130FFF0E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Test immunoenzymatyczny (ELISA) przeznaczony do jakościowego wykrywania przeciwciał klasy </w:t>
            </w:r>
            <w:proofErr w:type="spellStart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IgM</w:t>
            </w:r>
            <w:proofErr w:type="spellEnd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przeciw </w:t>
            </w:r>
            <w:proofErr w:type="spellStart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Parvowirusowi</w:t>
            </w:r>
            <w:proofErr w:type="spellEnd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B19 w surowicy, osoczu ludzkim (EDTA), wykorzystujący metodę </w:t>
            </w:r>
            <w:r w:rsidR="00B13504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„</w:t>
            </w: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sandwich”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7B8824B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6CC653ED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D34DD9B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2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60263C1A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Zestaw zawierający bufor do rozcieńczeń próbek i bufor do płukania</w:t>
            </w:r>
            <w:r w:rsidR="001647D2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, </w:t>
            </w:r>
            <w:r w:rsidR="001647D2" w:rsidRPr="00C074F9">
              <w:rPr>
                <w:rFonts w:ascii="Garamond" w:eastAsia="Times New Roman" w:hAnsi="Garamond"/>
                <w:sz w:val="22"/>
                <w:szCs w:val="22"/>
              </w:rPr>
              <w:t>kontrolę dodatnią, kontrolę ujemną oraz kontrolę odcinającą  ewentualnie kalibratory oraz folię ochronną</w:t>
            </w:r>
            <w:r w:rsidR="001647D2">
              <w:rPr>
                <w:rFonts w:ascii="Garamond" w:eastAsia="Times New Roman" w:hAnsi="Garamond"/>
                <w:sz w:val="22"/>
                <w:szCs w:val="22"/>
              </w:rPr>
              <w:t xml:space="preserve"> do zabezpieczenia dołków podczas inkubacji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5DCA583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4F8666E1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0F8E93ED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3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6BCDA311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Termin stabilności buforu do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płukania po rozcieńczeniu (1x)</w:t>
            </w: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2 tygodnie lub dłuższy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AF5B750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303F8C7A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225B860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4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2C1F37A2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Detekcja oparta na reakcji barwnej – odczyt gęstości optycznej przy długości fali 450nm i/lub 620nm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4A605F6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26EFC901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10FD038F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5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557E3341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Czułość wykrywania przeciwciał ≥96%, swoistość testu ≥96%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5812831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1308503C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57FEDFBD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6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67DA2E39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Przejrzyście podane kryteria interpretacji wyniku z uwzględnieniem wyniku ujemnego, dodatniego ewentualnie pośredniego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(</w:t>
            </w:r>
            <w:r w:rsidR="00B13504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wątpliwego)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82C355F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17D8E933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40FAD5A7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7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71E348EC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Instrukcja wykonania w języku polskim</w:t>
            </w:r>
            <w:r w:rsidR="001647D2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zawierająca informacje o reakcjach krzyżowych i ograniczeniach testu i </w:t>
            </w:r>
            <w:r w:rsidR="00B13504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dodatkowo </w:t>
            </w:r>
            <w:r w:rsidR="001647D2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instrukcja w </w:t>
            </w:r>
            <w:r w:rsidR="00B13504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języku angielskim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7717D19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30721479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776F715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8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29F1CB41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Okres ważności nie krótszy niż 6 miesięcy od daty dostawy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C0F425F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2669ED" w:rsidRPr="002669ED" w14:paraId="001B902F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3883742" w14:textId="77777777" w:rsidR="002669ED" w:rsidRPr="002669ED" w:rsidRDefault="002669ED" w:rsidP="002669ED">
            <w:pPr>
              <w:keepNext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9</w:t>
            </w:r>
          </w:p>
        </w:tc>
        <w:tc>
          <w:tcPr>
            <w:tcW w:w="7207" w:type="dxa"/>
            <w:shd w:val="clear" w:color="auto" w:fill="auto"/>
            <w:vAlign w:val="center"/>
          </w:tcPr>
          <w:p w14:paraId="3BBC9586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Odczynniki tego samego producenta do oznaczenia obu klas przeciwciał </w:t>
            </w:r>
          </w:p>
          <w:p w14:paraId="4CC11882" w14:textId="77777777" w:rsidR="002669ED" w:rsidRPr="002669ED" w:rsidRDefault="002669ED" w:rsidP="003317DA">
            <w:pPr>
              <w:keepNext/>
              <w:jc w:val="both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(</w:t>
            </w:r>
            <w:proofErr w:type="spellStart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IgG</w:t>
            </w:r>
            <w:proofErr w:type="spellEnd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i </w:t>
            </w:r>
            <w:proofErr w:type="spellStart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IgM</w:t>
            </w:r>
            <w:proofErr w:type="spellEnd"/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)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6D62379" w14:textId="77777777" w:rsidR="002669ED" w:rsidRPr="002669ED" w:rsidRDefault="002669ED" w:rsidP="002669ED">
            <w:pPr>
              <w:keepNext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</w:p>
        </w:tc>
      </w:tr>
      <w:tr w:rsidR="00C074F9" w:rsidRPr="002669ED" w14:paraId="474495F0" w14:textId="77777777" w:rsidTr="007E355E">
        <w:trPr>
          <w:trHeight w:val="567"/>
        </w:trPr>
        <w:tc>
          <w:tcPr>
            <w:tcW w:w="0" w:type="auto"/>
            <w:shd w:val="clear" w:color="auto" w:fill="auto"/>
          </w:tcPr>
          <w:p w14:paraId="3C770988" w14:textId="77777777" w:rsidR="00C074F9" w:rsidRDefault="00C074F9">
            <w:r>
              <w:rPr>
                <w:rFonts w:ascii="Garamond" w:eastAsia="Times New Roman" w:hAnsi="Garamond"/>
                <w:sz w:val="22"/>
                <w:szCs w:val="22"/>
              </w:rPr>
              <w:t>10</w:t>
            </w:r>
          </w:p>
        </w:tc>
        <w:tc>
          <w:tcPr>
            <w:tcW w:w="7207" w:type="dxa"/>
            <w:shd w:val="clear" w:color="auto" w:fill="auto"/>
          </w:tcPr>
          <w:p w14:paraId="3DB57190" w14:textId="77777777" w:rsidR="00C074F9" w:rsidRDefault="00C074F9" w:rsidP="003317DA">
            <w:pPr>
              <w:jc w:val="both"/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</w:p>
        </w:tc>
        <w:tc>
          <w:tcPr>
            <w:tcW w:w="2431" w:type="dxa"/>
            <w:shd w:val="clear" w:color="auto" w:fill="auto"/>
          </w:tcPr>
          <w:p w14:paraId="74D26A4A" w14:textId="77777777" w:rsidR="00C074F9" w:rsidRDefault="00C074F9"/>
        </w:tc>
      </w:tr>
    </w:tbl>
    <w:p w14:paraId="2D38F82C" w14:textId="77777777" w:rsidR="007E355E" w:rsidRDefault="007E355E" w:rsidP="007E355E">
      <w:pPr>
        <w:rPr>
          <w:rFonts w:ascii="Garamond" w:hAnsi="Garamond"/>
          <w:b/>
          <w:sz w:val="22"/>
          <w:szCs w:val="22"/>
        </w:rPr>
      </w:pPr>
    </w:p>
    <w:p w14:paraId="7D957D9B" w14:textId="77777777" w:rsidR="007E355E" w:rsidRPr="007145B4" w:rsidRDefault="007E355E" w:rsidP="007E355E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6B00AA67" w14:textId="77777777" w:rsidR="007E355E" w:rsidRPr="007145B4" w:rsidRDefault="007E355E" w:rsidP="007E355E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13961E71" w14:textId="77777777" w:rsidR="008E601B" w:rsidRDefault="002669ED" w:rsidP="002669ED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18"/>
          <w:szCs w:val="32"/>
        </w:rPr>
      </w:pPr>
      <w:r w:rsidRPr="002669ED">
        <w:rPr>
          <w:rFonts w:ascii="Cambria" w:eastAsia="Times New Roman" w:hAnsi="Cambria"/>
          <w:b/>
          <w:bCs/>
          <w:kern w:val="32"/>
          <w:sz w:val="18"/>
          <w:szCs w:val="32"/>
        </w:rPr>
        <w:br w:type="page"/>
      </w:r>
    </w:p>
    <w:p w14:paraId="011A939F" w14:textId="77777777" w:rsidR="008E601B" w:rsidRDefault="008E601B" w:rsidP="002669ED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18"/>
          <w:szCs w:val="32"/>
        </w:rPr>
      </w:pPr>
    </w:p>
    <w:p w14:paraId="739DE192" w14:textId="77777777" w:rsidR="002669ED" w:rsidRDefault="007E355E" w:rsidP="002669ED">
      <w:pPr>
        <w:keepNext/>
        <w:spacing w:before="240" w:after="60"/>
        <w:jc w:val="center"/>
        <w:outlineLvl w:val="0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>
        <w:rPr>
          <w:rFonts w:ascii="Garamond" w:hAnsi="Garamond"/>
          <w:b/>
          <w:color w:val="002060"/>
          <w:sz w:val="22"/>
          <w:szCs w:val="22"/>
        </w:rPr>
        <w:t>t</w:t>
      </w:r>
      <w:r w:rsidRPr="007E355E">
        <w:rPr>
          <w:rFonts w:ascii="Garamond" w:hAnsi="Garamond"/>
          <w:b/>
          <w:color w:val="002060"/>
          <w:sz w:val="22"/>
          <w:szCs w:val="22"/>
        </w:rPr>
        <w:t xml:space="preserve">estu immunoenzymatycznego in vitro </w:t>
      </w:r>
      <w:r w:rsidR="002669ED" w:rsidRPr="007E355E">
        <w:rPr>
          <w:rFonts w:ascii="Garamond" w:hAnsi="Garamond"/>
          <w:b/>
          <w:color w:val="002060"/>
          <w:sz w:val="22"/>
          <w:szCs w:val="22"/>
        </w:rPr>
        <w:t>do oznaczania przeciwciał anty-</w:t>
      </w:r>
      <w:proofErr w:type="spellStart"/>
      <w:r w:rsidR="002669ED" w:rsidRPr="007E355E">
        <w:rPr>
          <w:rFonts w:ascii="Garamond" w:hAnsi="Garamond"/>
          <w:b/>
          <w:color w:val="002060"/>
          <w:sz w:val="22"/>
          <w:szCs w:val="22"/>
        </w:rPr>
        <w:t>Parvowirus</w:t>
      </w:r>
      <w:proofErr w:type="spellEnd"/>
      <w:r w:rsidR="002669ED" w:rsidRPr="007E355E">
        <w:rPr>
          <w:rFonts w:ascii="Garamond" w:hAnsi="Garamond"/>
          <w:b/>
          <w:color w:val="002060"/>
          <w:sz w:val="22"/>
          <w:szCs w:val="22"/>
        </w:rPr>
        <w:t xml:space="preserve"> B19 </w:t>
      </w:r>
      <w:proofErr w:type="spellStart"/>
      <w:r w:rsidR="002669ED" w:rsidRPr="007E355E">
        <w:rPr>
          <w:rFonts w:ascii="Garamond" w:hAnsi="Garamond"/>
          <w:b/>
          <w:color w:val="002060"/>
          <w:sz w:val="22"/>
          <w:szCs w:val="22"/>
        </w:rPr>
        <w:t>IgG</w:t>
      </w:r>
      <w:proofErr w:type="spellEnd"/>
      <w:r w:rsidR="002669ED" w:rsidRPr="007E355E">
        <w:rPr>
          <w:rFonts w:ascii="Garamond" w:hAnsi="Garamond"/>
          <w:b/>
          <w:color w:val="002060"/>
          <w:sz w:val="22"/>
          <w:szCs w:val="22"/>
        </w:rPr>
        <w:t xml:space="preserve"> (ilościowo/półilościowo) w ludzkiej surowicy lub osoczu</w:t>
      </w:r>
    </w:p>
    <w:p w14:paraId="0AE3A1B1" w14:textId="77777777" w:rsidR="007E355E" w:rsidRPr="007E355E" w:rsidRDefault="007E355E" w:rsidP="007E355E">
      <w:pPr>
        <w:jc w:val="center"/>
        <w:rPr>
          <w:rFonts w:ascii="Garamond" w:hAnsi="Garamond"/>
          <w:b/>
          <w:color w:val="002060"/>
          <w:sz w:val="22"/>
          <w:szCs w:val="22"/>
        </w:rPr>
      </w:pPr>
      <w:r w:rsidRPr="007E355E">
        <w:rPr>
          <w:rFonts w:ascii="Garamond" w:hAnsi="Garamond"/>
          <w:b/>
          <w:color w:val="002060"/>
          <w:sz w:val="22"/>
          <w:szCs w:val="22"/>
        </w:rPr>
        <w:t>Część 14</w:t>
      </w:r>
      <w:r>
        <w:rPr>
          <w:rFonts w:ascii="Garamond" w:hAnsi="Garamond"/>
          <w:b/>
          <w:color w:val="002060"/>
          <w:sz w:val="22"/>
          <w:szCs w:val="22"/>
        </w:rPr>
        <w:t xml:space="preserve"> poz. 2</w:t>
      </w:r>
    </w:p>
    <w:p w14:paraId="59BEC7DC" w14:textId="77777777" w:rsidR="002669ED" w:rsidRPr="002669ED" w:rsidRDefault="002669ED" w:rsidP="002669ED">
      <w:pPr>
        <w:jc w:val="center"/>
        <w:rPr>
          <w:rFonts w:ascii="Garamond" w:eastAsia="Times New Roman" w:hAnsi="Garamond"/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7086"/>
        <w:gridCol w:w="2410"/>
      </w:tblGrid>
      <w:tr w:rsidR="007E355E" w:rsidRPr="002669ED" w14:paraId="3E7AE5FB" w14:textId="77777777" w:rsidTr="007E355E">
        <w:tc>
          <w:tcPr>
            <w:tcW w:w="0" w:type="auto"/>
            <w:shd w:val="clear" w:color="auto" w:fill="auto"/>
            <w:vAlign w:val="center"/>
          </w:tcPr>
          <w:p w14:paraId="0706247B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11B24932" w14:textId="77777777" w:rsidR="007E355E" w:rsidRPr="00C50CE9" w:rsidRDefault="007E355E" w:rsidP="007E355E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AEB3B7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6C31684B" w14:textId="77777777" w:rsidR="007E355E" w:rsidRPr="00C50CE9" w:rsidRDefault="007E355E" w:rsidP="007E355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2669ED" w:rsidRPr="002669ED" w14:paraId="753FFFCE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0BD594D8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1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1BBBE0F6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 xml:space="preserve">Test immunoenzymatyczny (ELISA) przeznaczony do jakościowego wykrywania przeciwciał klasy </w:t>
            </w:r>
            <w:proofErr w:type="spellStart"/>
            <w:r w:rsidRPr="002669ED">
              <w:rPr>
                <w:rFonts w:ascii="Garamond" w:eastAsia="Times New Roman" w:hAnsi="Garamond"/>
                <w:sz w:val="22"/>
                <w:szCs w:val="22"/>
              </w:rPr>
              <w:t>IgG</w:t>
            </w:r>
            <w:proofErr w:type="spellEnd"/>
            <w:r w:rsidRPr="002669ED">
              <w:rPr>
                <w:rFonts w:ascii="Garamond" w:eastAsia="Times New Roman" w:hAnsi="Garamond"/>
                <w:sz w:val="22"/>
                <w:szCs w:val="22"/>
              </w:rPr>
              <w:t xml:space="preserve"> przeciw </w:t>
            </w:r>
            <w:proofErr w:type="spellStart"/>
            <w:r w:rsidRPr="002669ED">
              <w:rPr>
                <w:rFonts w:ascii="Garamond" w:eastAsia="Times New Roman" w:hAnsi="Garamond"/>
                <w:sz w:val="22"/>
                <w:szCs w:val="22"/>
              </w:rPr>
              <w:t>Parvowirusowi</w:t>
            </w:r>
            <w:proofErr w:type="spellEnd"/>
            <w:r w:rsidRPr="002669ED">
              <w:rPr>
                <w:rFonts w:ascii="Garamond" w:eastAsia="Times New Roman" w:hAnsi="Garamond"/>
                <w:sz w:val="22"/>
                <w:szCs w:val="22"/>
              </w:rPr>
              <w:t xml:space="preserve"> B19 w surowicy, osoczu ludzkim (EDTA), wykorzystujący metodę </w:t>
            </w:r>
            <w:r w:rsidR="00236071">
              <w:rPr>
                <w:rFonts w:ascii="Garamond" w:eastAsia="Times New Roman" w:hAnsi="Garamond"/>
                <w:sz w:val="22"/>
                <w:szCs w:val="22"/>
              </w:rPr>
              <w:t>„</w:t>
            </w:r>
            <w:r w:rsidRPr="002669ED">
              <w:rPr>
                <w:rFonts w:ascii="Garamond" w:eastAsia="Times New Roman" w:hAnsi="Garamond"/>
                <w:sz w:val="22"/>
                <w:szCs w:val="22"/>
              </w:rPr>
              <w:t>sandwich”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1B20394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18EA4D7A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33458722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2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D5E0297" w14:textId="77777777" w:rsidR="002669ED" w:rsidRPr="002669ED" w:rsidRDefault="001647D2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Zestaw zawierający bufor do rozcieńczeń próbek i bufor do płukania</w:t>
            </w:r>
            <w:r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, </w:t>
            </w:r>
            <w:r w:rsidRPr="00C074F9">
              <w:rPr>
                <w:rFonts w:ascii="Garamond" w:eastAsia="Times New Roman" w:hAnsi="Garamond"/>
                <w:sz w:val="22"/>
                <w:szCs w:val="22"/>
              </w:rPr>
              <w:t>kontrolę dodatnią, kontrolę ujemną oraz kontrolę odcinającą  ewentualnie kalibratory oraz folię ochronną</w:t>
            </w:r>
            <w:r>
              <w:rPr>
                <w:rFonts w:ascii="Garamond" w:eastAsia="Times New Roman" w:hAnsi="Garamond"/>
                <w:sz w:val="22"/>
                <w:szCs w:val="22"/>
              </w:rPr>
              <w:t xml:space="preserve"> do zabezpieczenia dołków podczas inkubacji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A960929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0C067D07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FAB0427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3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ECB4D46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Termin stabilności buforu do płukania po rozcieńczeniu (1x) 2 tygodnie lub dłuższy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86028B5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3A74F25C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FF71DC7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4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763E49E2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Detekcja oparta na reakcji barwnej – odczyt gęstości optycznej przy długości fali 450nm i/lub 620nm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EA56733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29D09AB9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33827D4D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5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300DD08F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Czułość wykrywania przeciwciał ≥96%, swoistość testu ≥96%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D06D2C5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45B29048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42CC65CD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6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366A44F6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Przejrzyście podane kryteria interpretacji wyniku z uwzględnieniem wyniku ujemnego, dodatniego ewentualnie pośredniego.</w:t>
            </w:r>
          </w:p>
        </w:tc>
        <w:tc>
          <w:tcPr>
            <w:tcW w:w="2410" w:type="dxa"/>
            <w:shd w:val="clear" w:color="auto" w:fill="auto"/>
          </w:tcPr>
          <w:p w14:paraId="25E462E4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1F3FFE67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6E55F09F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7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71FCF520" w14:textId="77777777" w:rsidR="002669ED" w:rsidRPr="002669ED" w:rsidRDefault="001647D2" w:rsidP="003317DA">
            <w:pPr>
              <w:tabs>
                <w:tab w:val="left" w:pos="3237"/>
              </w:tabs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Instrukcja wykonania w języku polskim</w:t>
            </w:r>
            <w:r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 xml:space="preserve"> zawierająca informacje o reakcjach krzyżowych i ograniczeniach testu i  dodatkowo instrukcja w języku angielskim</w:t>
            </w:r>
            <w:r w:rsidR="003317DA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1054C616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61117701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50F8909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8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70091361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Okres ważności testu nie krótszy niż 6 miesięcy od daty dostawy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7396CD9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2669ED" w:rsidRPr="002669ED" w14:paraId="454878AA" w14:textId="77777777" w:rsidTr="007E355E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60F47B6" w14:textId="77777777" w:rsidR="002669ED" w:rsidRPr="002669ED" w:rsidRDefault="002669ED" w:rsidP="002669ED">
            <w:pPr>
              <w:keepNext/>
              <w:spacing w:before="240" w:after="60"/>
              <w:jc w:val="center"/>
              <w:outlineLvl w:val="0"/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bCs/>
                <w:kern w:val="32"/>
                <w:sz w:val="22"/>
                <w:szCs w:val="22"/>
              </w:rPr>
              <w:t>9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33F15F7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 xml:space="preserve">Odczynniki tego samego producenta do oznaczenia obu klas przeciwciał </w:t>
            </w:r>
          </w:p>
          <w:p w14:paraId="663A8084" w14:textId="77777777" w:rsidR="002669ED" w:rsidRPr="002669ED" w:rsidRDefault="002669ED" w:rsidP="003317DA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2669ED">
              <w:rPr>
                <w:rFonts w:ascii="Garamond" w:eastAsia="Times New Roman" w:hAnsi="Garamond"/>
                <w:sz w:val="22"/>
                <w:szCs w:val="22"/>
              </w:rPr>
              <w:t>(</w:t>
            </w:r>
            <w:proofErr w:type="spellStart"/>
            <w:r w:rsidRPr="002669ED">
              <w:rPr>
                <w:rFonts w:ascii="Garamond" w:eastAsia="Times New Roman" w:hAnsi="Garamond"/>
                <w:sz w:val="22"/>
                <w:szCs w:val="22"/>
              </w:rPr>
              <w:t>IgG</w:t>
            </w:r>
            <w:proofErr w:type="spellEnd"/>
            <w:r w:rsidRPr="002669ED">
              <w:rPr>
                <w:rFonts w:ascii="Garamond" w:eastAsia="Times New Roman" w:hAnsi="Garamond"/>
                <w:sz w:val="22"/>
                <w:szCs w:val="22"/>
              </w:rPr>
              <w:t xml:space="preserve"> i </w:t>
            </w:r>
            <w:proofErr w:type="spellStart"/>
            <w:r w:rsidRPr="002669ED">
              <w:rPr>
                <w:rFonts w:ascii="Garamond" w:eastAsia="Times New Roman" w:hAnsi="Garamond"/>
                <w:sz w:val="22"/>
                <w:szCs w:val="22"/>
              </w:rPr>
              <w:t>IgM</w:t>
            </w:r>
            <w:proofErr w:type="spellEnd"/>
            <w:r w:rsidRPr="002669ED">
              <w:rPr>
                <w:rFonts w:ascii="Garamond" w:eastAsia="Times New Roman" w:hAnsi="Garamond"/>
                <w:sz w:val="22"/>
                <w:szCs w:val="22"/>
              </w:rPr>
              <w:t>)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D613559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2669ED" w14:paraId="4BA1D8B9" w14:textId="77777777" w:rsidTr="007E355E">
        <w:trPr>
          <w:trHeight w:val="567"/>
        </w:trPr>
        <w:tc>
          <w:tcPr>
            <w:tcW w:w="0" w:type="auto"/>
            <w:shd w:val="clear" w:color="auto" w:fill="auto"/>
          </w:tcPr>
          <w:p w14:paraId="0849E9CD" w14:textId="77777777" w:rsidR="00C074F9" w:rsidRDefault="00C074F9">
            <w:r>
              <w:rPr>
                <w:rFonts w:ascii="Garamond" w:eastAsia="Times New Roman" w:hAnsi="Garamond"/>
                <w:sz w:val="22"/>
                <w:szCs w:val="22"/>
              </w:rPr>
              <w:t>10</w:t>
            </w:r>
          </w:p>
        </w:tc>
        <w:tc>
          <w:tcPr>
            <w:tcW w:w="7086" w:type="dxa"/>
            <w:shd w:val="clear" w:color="auto" w:fill="auto"/>
          </w:tcPr>
          <w:p w14:paraId="169B215C" w14:textId="77777777" w:rsidR="00C074F9" w:rsidRDefault="00C074F9" w:rsidP="003317DA">
            <w:pPr>
              <w:jc w:val="both"/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  <w:r w:rsidR="003317DA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85B8FA0" w14:textId="77777777" w:rsidR="00C074F9" w:rsidRDefault="00C074F9"/>
        </w:tc>
      </w:tr>
    </w:tbl>
    <w:p w14:paraId="1B0404C1" w14:textId="77777777" w:rsidR="007E355E" w:rsidRDefault="007E355E" w:rsidP="007E355E">
      <w:pPr>
        <w:rPr>
          <w:rFonts w:ascii="Garamond" w:hAnsi="Garamond"/>
          <w:b/>
          <w:sz w:val="22"/>
          <w:szCs w:val="22"/>
        </w:rPr>
      </w:pPr>
    </w:p>
    <w:p w14:paraId="043727E6" w14:textId="77777777" w:rsidR="007E355E" w:rsidRPr="007145B4" w:rsidRDefault="007E355E" w:rsidP="007E355E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5302567B" w14:textId="77777777" w:rsidR="007E355E" w:rsidRPr="007145B4" w:rsidRDefault="007E355E" w:rsidP="007E355E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1BBC81CE" w14:textId="77777777" w:rsidR="002669ED" w:rsidRPr="002669ED" w:rsidRDefault="002669ED" w:rsidP="002669ED">
      <w:pPr>
        <w:keepNext/>
        <w:outlineLvl w:val="3"/>
        <w:rPr>
          <w:rFonts w:ascii="Garamond" w:eastAsia="Times New Roman" w:hAnsi="Garamond"/>
          <w:bCs/>
          <w:sz w:val="18"/>
          <w:szCs w:val="18"/>
        </w:rPr>
      </w:pPr>
    </w:p>
    <w:p w14:paraId="29CC7C80" w14:textId="77777777" w:rsidR="002669ED" w:rsidRDefault="002669ED" w:rsidP="002669ED">
      <w:pPr>
        <w:rPr>
          <w:rFonts w:eastAsia="Times New Roman"/>
          <w:b/>
          <w:sz w:val="28"/>
          <w:szCs w:val="32"/>
        </w:rPr>
      </w:pPr>
    </w:p>
    <w:p w14:paraId="24D10AFA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029ECF72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21890BDA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21986FF5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700BD89A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11817A8B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2F46DDDF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4CBA7067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p w14:paraId="277708B2" w14:textId="77777777" w:rsidR="00BD0329" w:rsidRDefault="00BD0329" w:rsidP="002669ED">
      <w:pPr>
        <w:rPr>
          <w:rFonts w:eastAsia="Times New Roman"/>
          <w:b/>
          <w:sz w:val="28"/>
          <w:szCs w:val="32"/>
        </w:rPr>
      </w:pPr>
    </w:p>
    <w:sectPr w:rsidR="00BD03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0FA01" w14:textId="77777777" w:rsidR="00C72630" w:rsidRDefault="00C72630" w:rsidP="007E355E">
      <w:r>
        <w:separator/>
      </w:r>
    </w:p>
  </w:endnote>
  <w:endnote w:type="continuationSeparator" w:id="0">
    <w:p w14:paraId="108A1675" w14:textId="77777777" w:rsidR="00C72630" w:rsidRDefault="00C72630" w:rsidP="007E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EF3ED" w14:textId="77777777" w:rsidR="00477694" w:rsidRDefault="004776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ECD04" w14:textId="43B748F1" w:rsidR="00A50F92" w:rsidRDefault="00A50F92" w:rsidP="00A50F92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77694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77694">
      <w:rPr>
        <w:rFonts w:ascii="Garamond" w:hAnsi="Garamond"/>
        <w:b/>
        <w:bCs/>
        <w:noProof/>
        <w:sz w:val="20"/>
        <w:szCs w:val="20"/>
      </w:rPr>
      <w:t>2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  <w:p w14:paraId="6D0972C2" w14:textId="77777777" w:rsidR="00A50F92" w:rsidRDefault="00A50F92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175FD" w14:textId="77777777" w:rsidR="00477694" w:rsidRDefault="00477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22F16" w14:textId="77777777" w:rsidR="00C72630" w:rsidRDefault="00C72630" w:rsidP="007E355E">
      <w:r>
        <w:separator/>
      </w:r>
    </w:p>
  </w:footnote>
  <w:footnote w:type="continuationSeparator" w:id="0">
    <w:p w14:paraId="57C5418A" w14:textId="77777777" w:rsidR="00C72630" w:rsidRDefault="00C72630" w:rsidP="007E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BBACA" w14:textId="77777777" w:rsidR="00477694" w:rsidRDefault="004776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A8157" w14:textId="77777777" w:rsidR="007E355E" w:rsidRDefault="007E355E" w:rsidP="007E355E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68E0C025" w14:textId="77777777" w:rsidR="007E355E" w:rsidRPr="00784206" w:rsidRDefault="007E355E" w:rsidP="007E355E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1138279B" w14:textId="77777777" w:rsidR="007E355E" w:rsidRPr="007E355E" w:rsidRDefault="007E355E" w:rsidP="007E355E">
    <w:pPr>
      <w:pStyle w:val="Nagwek"/>
      <w:jc w:val="center"/>
      <w:rPr>
        <w:b/>
      </w:rPr>
    </w:pPr>
    <w:r w:rsidRPr="007E355E">
      <w:rPr>
        <w:rFonts w:ascii="Garamond" w:hAnsi="Garamond"/>
        <w:b/>
        <w:bCs/>
        <w:sz w:val="22"/>
        <w:szCs w:val="22"/>
      </w:rPr>
      <w:t>Część  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7B2F6" w14:textId="77777777" w:rsidR="00477694" w:rsidRDefault="004776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F2"/>
    <w:rsid w:val="001647D2"/>
    <w:rsid w:val="00200ABE"/>
    <w:rsid w:val="00236071"/>
    <w:rsid w:val="002669ED"/>
    <w:rsid w:val="002A0885"/>
    <w:rsid w:val="002A6A6E"/>
    <w:rsid w:val="002D3ECB"/>
    <w:rsid w:val="00302340"/>
    <w:rsid w:val="003317DA"/>
    <w:rsid w:val="00477694"/>
    <w:rsid w:val="005F50F2"/>
    <w:rsid w:val="006103DF"/>
    <w:rsid w:val="007A7402"/>
    <w:rsid w:val="007E355E"/>
    <w:rsid w:val="00831979"/>
    <w:rsid w:val="008443E6"/>
    <w:rsid w:val="00873BAE"/>
    <w:rsid w:val="008E601B"/>
    <w:rsid w:val="00A50F92"/>
    <w:rsid w:val="00B13504"/>
    <w:rsid w:val="00BA4C54"/>
    <w:rsid w:val="00BA7E13"/>
    <w:rsid w:val="00BD0329"/>
    <w:rsid w:val="00C074F9"/>
    <w:rsid w:val="00C72630"/>
    <w:rsid w:val="00DD69B3"/>
    <w:rsid w:val="00F1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3D4C"/>
  <w15:docId w15:val="{97301E13-D3F5-4DEF-956D-422AC73E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E355E"/>
    <w:pPr>
      <w:keepNext/>
      <w:outlineLvl w:val="2"/>
    </w:pPr>
    <w:rPr>
      <w:rFonts w:eastAsia="Times New Roman"/>
      <w:b/>
      <w:bCs/>
      <w:color w:val="FF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F50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0F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35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355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35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55E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E355E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7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7DA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7DA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7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DA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jakubowicz</dc:creator>
  <cp:lastModifiedBy>Edyta Prokopiuk</cp:lastModifiedBy>
  <cp:revision>7</cp:revision>
  <cp:lastPrinted>2019-05-08T11:09:00Z</cp:lastPrinted>
  <dcterms:created xsi:type="dcterms:W3CDTF">2019-06-17T16:16:00Z</dcterms:created>
  <dcterms:modified xsi:type="dcterms:W3CDTF">2019-07-19T08:15:00Z</dcterms:modified>
</cp:coreProperties>
</file>