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2218" w:rsidRPr="00FF4BF5" w:rsidRDefault="00422218" w:rsidP="00422218">
      <w:pPr>
        <w:pStyle w:val="Tytu"/>
        <w:spacing w:line="288" w:lineRule="auto"/>
        <w:rPr>
          <w:rFonts w:ascii="Century Gothic" w:hAnsi="Century Gothic"/>
          <w:sz w:val="20"/>
          <w:szCs w:val="20"/>
        </w:rPr>
      </w:pPr>
      <w:r w:rsidRPr="00FF4BF5">
        <w:rPr>
          <w:rFonts w:ascii="Century Gothic" w:hAnsi="Century Gothic"/>
          <w:sz w:val="20"/>
          <w:szCs w:val="20"/>
        </w:rPr>
        <w:t>OPIS PRZEDMIOTU ZAMÓWIENIA</w:t>
      </w:r>
    </w:p>
    <w:p w:rsidR="00D729FE" w:rsidRDefault="0074558B" w:rsidP="009524EE">
      <w:pPr>
        <w:pStyle w:val="Skrconyadreszwrotny"/>
        <w:spacing w:before="100" w:beforeAutospacing="1" w:after="100" w:afterAutospacing="1" w:line="288" w:lineRule="auto"/>
        <w:jc w:val="center"/>
        <w:rPr>
          <w:rFonts w:ascii="Century Gothic" w:hAnsi="Century Gothic"/>
          <w:b/>
          <w:sz w:val="20"/>
        </w:rPr>
      </w:pPr>
      <w:r>
        <w:rPr>
          <w:rFonts w:ascii="Century Gothic" w:hAnsi="Century Gothic"/>
          <w:b/>
          <w:sz w:val="20"/>
        </w:rPr>
        <w:t>Część</w:t>
      </w:r>
      <w:r w:rsidR="00C94D40">
        <w:rPr>
          <w:rFonts w:ascii="Century Gothic" w:hAnsi="Century Gothic"/>
          <w:b/>
          <w:sz w:val="20"/>
        </w:rPr>
        <w:t xml:space="preserve"> nr</w:t>
      </w:r>
      <w:r w:rsidR="00D729FE" w:rsidRPr="00D729FE">
        <w:rPr>
          <w:rFonts w:ascii="Century Gothic" w:hAnsi="Century Gothic"/>
          <w:b/>
          <w:sz w:val="20"/>
        </w:rPr>
        <w:t xml:space="preserve"> 1 - Infuzja OIOM</w:t>
      </w:r>
    </w:p>
    <w:p w:rsidR="0097030B" w:rsidRPr="00FF4BF5" w:rsidRDefault="0097030B" w:rsidP="0097030B">
      <w:pPr>
        <w:pStyle w:val="Skrconyadreszwrotny"/>
        <w:spacing w:before="100" w:beforeAutospacing="1" w:after="100" w:afterAutospacing="1" w:line="288" w:lineRule="auto"/>
        <w:jc w:val="both"/>
        <w:rPr>
          <w:rFonts w:ascii="Century Gothic" w:hAnsi="Century Gothic"/>
          <w:sz w:val="20"/>
        </w:rPr>
      </w:pPr>
      <w:r w:rsidRPr="00FF4BF5">
        <w:rPr>
          <w:rFonts w:ascii="Century Gothic" w:hAnsi="Century Gothic"/>
          <w:sz w:val="20"/>
        </w:rPr>
        <w:t>Uwagi i objaśnienia:</w:t>
      </w:r>
    </w:p>
    <w:p w:rsidR="0097030B" w:rsidRPr="00FF4BF5" w:rsidRDefault="0097030B" w:rsidP="0097030B">
      <w:pPr>
        <w:pStyle w:val="Skrconyadreszwrotny"/>
        <w:numPr>
          <w:ilvl w:val="0"/>
          <w:numId w:val="2"/>
        </w:numPr>
        <w:spacing w:before="100" w:beforeAutospacing="1" w:after="100" w:afterAutospacing="1" w:line="288" w:lineRule="auto"/>
        <w:ind w:left="0" w:firstLine="0"/>
        <w:jc w:val="both"/>
        <w:rPr>
          <w:rFonts w:ascii="Century Gothic" w:hAnsi="Century Gothic"/>
          <w:sz w:val="20"/>
        </w:rPr>
      </w:pPr>
      <w:r w:rsidRPr="00FF4BF5">
        <w:rPr>
          <w:rFonts w:ascii="Century Gothic" w:hAnsi="Century Gothic"/>
          <w:sz w:val="20"/>
        </w:rPr>
        <w:t>Parametry określone jako „tak” są parametrami granicznymi. Udzielenie odpowiedzi „nie”  lub innej nie stanowiącej jednoznacznego potwierdzenia spełniania warunku będzie skutkowało odrzuceniem oferty.</w:t>
      </w:r>
    </w:p>
    <w:p w:rsidR="0097030B" w:rsidRPr="00FF4BF5" w:rsidRDefault="0097030B" w:rsidP="0097030B">
      <w:pPr>
        <w:pStyle w:val="Skrconyadreszwrotny"/>
        <w:numPr>
          <w:ilvl w:val="0"/>
          <w:numId w:val="2"/>
        </w:numPr>
        <w:spacing w:before="100" w:beforeAutospacing="1" w:after="100" w:afterAutospacing="1" w:line="288" w:lineRule="auto"/>
        <w:ind w:left="0" w:firstLine="0"/>
        <w:jc w:val="both"/>
        <w:rPr>
          <w:rFonts w:ascii="Century Gothic" w:hAnsi="Century Gothic"/>
          <w:sz w:val="20"/>
        </w:rPr>
      </w:pPr>
      <w:r w:rsidRPr="00FF4BF5">
        <w:rPr>
          <w:rFonts w:ascii="Century Gothic" w:hAnsi="Century Gothic"/>
          <w:sz w:val="20"/>
        </w:rPr>
        <w:t>Parametry o określonych warunkach liczbowych ( „&gt;=”  lub „=&lt;” ) są warunkami granicznymi, których niespełnienie spowoduje odrzucenie oferty. Wartość podana przy znaku  „=” oznacza wartość wymaganą.</w:t>
      </w:r>
    </w:p>
    <w:p w:rsidR="0097030B" w:rsidRPr="00FF4BF5" w:rsidRDefault="0097030B" w:rsidP="0097030B">
      <w:pPr>
        <w:pStyle w:val="Skrconyadreszwrotny"/>
        <w:numPr>
          <w:ilvl w:val="0"/>
          <w:numId w:val="2"/>
        </w:numPr>
        <w:spacing w:before="100" w:beforeAutospacing="1" w:after="100" w:afterAutospacing="1" w:line="288" w:lineRule="auto"/>
        <w:ind w:left="0" w:firstLine="0"/>
        <w:jc w:val="both"/>
        <w:rPr>
          <w:rFonts w:ascii="Century Gothic" w:hAnsi="Century Gothic"/>
          <w:sz w:val="20"/>
        </w:rPr>
      </w:pPr>
      <w:r w:rsidRPr="00FF4BF5">
        <w:rPr>
          <w:rFonts w:ascii="Century Gothic" w:hAnsi="Century Gothic"/>
          <w:sz w:val="20"/>
        </w:rPr>
        <w:t>Brak odpowiedzi w przypadku pozostałych warunków, punktowany będzie jako 0.</w:t>
      </w:r>
    </w:p>
    <w:p w:rsidR="0097030B" w:rsidRPr="00FF4BF5" w:rsidRDefault="0097030B" w:rsidP="0097030B">
      <w:pPr>
        <w:pStyle w:val="Skrconyadreszwrotny"/>
        <w:numPr>
          <w:ilvl w:val="0"/>
          <w:numId w:val="2"/>
        </w:numPr>
        <w:spacing w:before="100" w:beforeAutospacing="1" w:after="100" w:afterAutospacing="1" w:line="288" w:lineRule="auto"/>
        <w:ind w:left="0" w:firstLine="0"/>
        <w:jc w:val="both"/>
        <w:rPr>
          <w:rFonts w:ascii="Century Gothic" w:hAnsi="Century Gothic"/>
          <w:sz w:val="20"/>
        </w:rPr>
      </w:pPr>
      <w:r w:rsidRPr="00FF4BF5">
        <w:rPr>
          <w:rFonts w:ascii="Century Gothic" w:hAnsi="Century Gothic"/>
          <w:sz w:val="20"/>
        </w:rPr>
        <w:t>Wykonawca zobowiązany jest do podania parametrów w jednostkach wskazanych w niniejszym opisie,</w:t>
      </w:r>
    </w:p>
    <w:p w:rsidR="0097030B" w:rsidRPr="00FF4BF5" w:rsidRDefault="0097030B" w:rsidP="0097030B">
      <w:pPr>
        <w:pStyle w:val="Skrconyadreszwrotny"/>
        <w:numPr>
          <w:ilvl w:val="0"/>
          <w:numId w:val="2"/>
        </w:numPr>
        <w:spacing w:before="100" w:beforeAutospacing="1" w:after="100" w:afterAutospacing="1" w:line="288" w:lineRule="auto"/>
        <w:ind w:left="0" w:firstLine="0"/>
        <w:jc w:val="both"/>
        <w:rPr>
          <w:rFonts w:ascii="Century Gothic" w:hAnsi="Century Gothic"/>
          <w:sz w:val="20"/>
        </w:rPr>
      </w:pPr>
      <w:r w:rsidRPr="00FF4BF5">
        <w:rPr>
          <w:rFonts w:ascii="Century Gothic" w:hAnsi="Century Gothic"/>
          <w:sz w:val="20"/>
        </w:rPr>
        <w:t>Wykonawca gwarantuje niniejszym, że sprzęt jest fabrycznie nowy (rok produkcji 2018) nie jest rekondycjonowany, używany, powystawowy,  jest kompletny i do jego uruchomienia oraz stosowania zgodnie z przeznaczeniem nie jest konieczny zakup dodatkowych elementów i akcesoriów.</w:t>
      </w:r>
    </w:p>
    <w:p w:rsidR="0097030B" w:rsidRPr="00FF4BF5" w:rsidRDefault="0097030B" w:rsidP="0097030B">
      <w:pPr>
        <w:pStyle w:val="Skrconyadreszwrotny"/>
        <w:spacing w:before="100" w:beforeAutospacing="1" w:after="100" w:afterAutospacing="1" w:line="288" w:lineRule="auto"/>
        <w:jc w:val="both"/>
        <w:rPr>
          <w:rFonts w:ascii="Century Gothic" w:hAnsi="Century Gothic"/>
          <w:sz w:val="20"/>
        </w:rPr>
      </w:pPr>
      <w:r w:rsidRPr="00FF4BF5">
        <w:rPr>
          <w:rFonts w:ascii="Century Gothic" w:hAnsi="Century Gothic"/>
          <w:sz w:val="20"/>
        </w:rPr>
        <w:t>Nazwa i typ: .............................................................</w:t>
      </w:r>
    </w:p>
    <w:p w:rsidR="0097030B" w:rsidRPr="00FF4BF5" w:rsidRDefault="0097030B" w:rsidP="0097030B">
      <w:pPr>
        <w:pStyle w:val="Skrconyadreszwrotny"/>
        <w:spacing w:before="100" w:beforeAutospacing="1" w:after="100" w:afterAutospacing="1" w:line="288" w:lineRule="auto"/>
        <w:jc w:val="both"/>
        <w:rPr>
          <w:rFonts w:ascii="Century Gothic" w:hAnsi="Century Gothic"/>
          <w:sz w:val="20"/>
        </w:rPr>
      </w:pPr>
      <w:r w:rsidRPr="00FF4BF5">
        <w:rPr>
          <w:rFonts w:ascii="Century Gothic" w:hAnsi="Century Gothic"/>
          <w:sz w:val="20"/>
        </w:rPr>
        <w:t>Producent: ........................................................</w:t>
      </w:r>
    </w:p>
    <w:p w:rsidR="0097030B" w:rsidRPr="00FF4BF5" w:rsidRDefault="0097030B" w:rsidP="0097030B">
      <w:pPr>
        <w:pStyle w:val="Skrconyadreszwrotny"/>
        <w:spacing w:before="100" w:beforeAutospacing="1" w:after="100" w:afterAutospacing="1" w:line="288" w:lineRule="auto"/>
        <w:rPr>
          <w:rFonts w:ascii="Century Gothic" w:hAnsi="Century Gothic"/>
          <w:sz w:val="20"/>
        </w:rPr>
      </w:pPr>
      <w:r w:rsidRPr="00FF4BF5">
        <w:rPr>
          <w:rFonts w:ascii="Century Gothic" w:hAnsi="Century Gothic"/>
          <w:sz w:val="20"/>
        </w:rPr>
        <w:t>Kraj produkcji: ...............................................................</w:t>
      </w:r>
    </w:p>
    <w:p w:rsidR="0097030B" w:rsidRPr="00FF4BF5" w:rsidRDefault="0097030B" w:rsidP="0097030B">
      <w:pPr>
        <w:pStyle w:val="Skrconyadreszwrotny"/>
        <w:spacing w:before="100" w:beforeAutospacing="1" w:after="100" w:afterAutospacing="1" w:line="288" w:lineRule="auto"/>
        <w:rPr>
          <w:rFonts w:ascii="Century Gothic" w:hAnsi="Century Gothic"/>
          <w:sz w:val="20"/>
        </w:rPr>
      </w:pPr>
      <w:r w:rsidRPr="00FF4BF5">
        <w:rPr>
          <w:rFonts w:ascii="Century Gothic" w:hAnsi="Century Gothic"/>
          <w:sz w:val="20"/>
        </w:rPr>
        <w:t>Rok produkcji: .......................</w:t>
      </w:r>
    </w:p>
    <w:p w:rsidR="0097030B" w:rsidRPr="00FF4BF5" w:rsidRDefault="0097030B" w:rsidP="0097030B">
      <w:pPr>
        <w:pStyle w:val="Skrconyadreszwrotny"/>
        <w:spacing w:before="100" w:beforeAutospacing="1" w:after="100" w:afterAutospacing="1" w:line="288" w:lineRule="auto"/>
        <w:rPr>
          <w:rFonts w:ascii="Century Gothic" w:hAnsi="Century Gothic"/>
          <w:sz w:val="20"/>
        </w:rPr>
      </w:pPr>
      <w:r w:rsidRPr="00FF4BF5">
        <w:rPr>
          <w:rFonts w:ascii="Century Gothic" w:hAnsi="Century Gothic"/>
          <w:sz w:val="20"/>
        </w:rPr>
        <w:t>Klasa wyrobu medycznego: ...............</w:t>
      </w:r>
    </w:p>
    <w:p w:rsidR="00A07EDC" w:rsidRPr="00A07EDC" w:rsidRDefault="0074558B" w:rsidP="0074558B">
      <w:pPr>
        <w:suppressAutoHyphens w:val="0"/>
        <w:spacing w:after="200" w:line="276" w:lineRule="auto"/>
        <w:rPr>
          <w:rFonts w:ascii="Century Gothic" w:hAnsi="Century Gothic"/>
          <w:sz w:val="20"/>
        </w:rPr>
      </w:pPr>
      <w:r>
        <w:rPr>
          <w:rFonts w:ascii="Century Gothic" w:hAnsi="Century Gothic"/>
          <w:sz w:val="20"/>
        </w:rPr>
        <w:br w:type="page"/>
      </w:r>
    </w:p>
    <w:tbl>
      <w:tblPr>
        <w:tblW w:w="14074" w:type="dxa"/>
        <w:tblInd w:w="70" w:type="dxa"/>
        <w:tblCellMar>
          <w:left w:w="70" w:type="dxa"/>
          <w:right w:w="70" w:type="dxa"/>
        </w:tblCellMar>
        <w:tblLook w:val="04A0" w:firstRow="1" w:lastRow="0" w:firstColumn="1" w:lastColumn="0" w:noHBand="0" w:noVBand="1"/>
      </w:tblPr>
      <w:tblGrid>
        <w:gridCol w:w="207"/>
        <w:gridCol w:w="502"/>
        <w:gridCol w:w="5528"/>
        <w:gridCol w:w="851"/>
        <w:gridCol w:w="162"/>
        <w:gridCol w:w="2389"/>
        <w:gridCol w:w="4435"/>
      </w:tblGrid>
      <w:tr w:rsidR="00A07EDC" w:rsidRPr="00FF4BF5" w:rsidTr="008C537C">
        <w:trPr>
          <w:trHeight w:val="640"/>
        </w:trPr>
        <w:tc>
          <w:tcPr>
            <w:tcW w:w="14074" w:type="dxa"/>
            <w:gridSpan w:val="7"/>
            <w:tcBorders>
              <w:top w:val="single" w:sz="4" w:space="0" w:color="auto"/>
              <w:left w:val="single" w:sz="4" w:space="0" w:color="auto"/>
              <w:bottom w:val="nil"/>
              <w:right w:val="single" w:sz="4" w:space="0" w:color="auto"/>
            </w:tcBorders>
            <w:vAlign w:val="center"/>
          </w:tcPr>
          <w:p w:rsidR="00A07EDC" w:rsidRPr="003C130B" w:rsidRDefault="00A07EDC" w:rsidP="008C537C">
            <w:pPr>
              <w:rPr>
                <w:rFonts w:ascii="Century Gothic" w:hAnsi="Century Gothic" w:cs="Calibri"/>
                <w:lang w:eastAsia="pl-PL"/>
              </w:rPr>
            </w:pPr>
            <w:r>
              <w:rPr>
                <w:rFonts w:ascii="Century Gothic" w:hAnsi="Century Gothic" w:cs="Calibri"/>
                <w:lang w:eastAsia="pl-PL"/>
              </w:rPr>
              <w:lastRenderedPageBreak/>
              <w:t> </w:t>
            </w:r>
            <w:r w:rsidRPr="00FF4BF5">
              <w:rPr>
                <w:rFonts w:ascii="Century Gothic" w:hAnsi="Century Gothic"/>
                <w:b/>
                <w:sz w:val="20"/>
                <w:szCs w:val="20"/>
                <w:lang w:eastAsia="pl-PL"/>
              </w:rPr>
              <w:t>ZAMÓWIENIE PODSTAWOWE:</w:t>
            </w:r>
          </w:p>
          <w:p w:rsidR="00A07EDC" w:rsidRPr="00DB32A3" w:rsidRDefault="00A07EDC" w:rsidP="008C537C">
            <w:pPr>
              <w:ind w:hanging="129"/>
              <w:rPr>
                <w:rFonts w:ascii="Century Gothic" w:hAnsi="Century Gothic"/>
                <w:b/>
                <w:sz w:val="20"/>
                <w:szCs w:val="20"/>
                <w:lang w:eastAsia="pl-PL"/>
              </w:rPr>
            </w:pPr>
          </w:p>
        </w:tc>
      </w:tr>
      <w:tr w:rsidR="00A07EDC" w:rsidRPr="00FF4BF5" w:rsidTr="008C537C">
        <w:trPr>
          <w:trHeight w:val="705"/>
        </w:trPr>
        <w:tc>
          <w:tcPr>
            <w:tcW w:w="207" w:type="dxa"/>
            <w:tcBorders>
              <w:top w:val="nil"/>
              <w:left w:val="single" w:sz="4" w:space="0" w:color="auto"/>
              <w:bottom w:val="nil"/>
              <w:right w:val="nil"/>
            </w:tcBorders>
            <w:shd w:val="clear" w:color="auto" w:fill="auto"/>
            <w:noWrap/>
            <w:vAlign w:val="bottom"/>
            <w:hideMark/>
          </w:tcPr>
          <w:p w:rsidR="00A07EDC" w:rsidRPr="00FF4BF5" w:rsidRDefault="00A07EDC" w:rsidP="008C537C">
            <w:pPr>
              <w:rPr>
                <w:rFonts w:ascii="Century Gothic" w:hAnsi="Century Gothic" w:cs="Calibri"/>
                <w:lang w:eastAsia="pl-PL"/>
              </w:rPr>
            </w:pPr>
            <w:r w:rsidRPr="00FF4BF5">
              <w:rPr>
                <w:rFonts w:ascii="Century Gothic" w:hAnsi="Century Gothic" w:cs="Calibri"/>
                <w:lang w:eastAsia="pl-PL"/>
              </w:rPr>
              <w:t> </w:t>
            </w:r>
          </w:p>
        </w:tc>
        <w:tc>
          <w:tcPr>
            <w:tcW w:w="502" w:type="dxa"/>
            <w:tcBorders>
              <w:top w:val="single" w:sz="4" w:space="0" w:color="auto"/>
              <w:left w:val="single" w:sz="4" w:space="0" w:color="auto"/>
              <w:bottom w:val="single" w:sz="4" w:space="0" w:color="auto"/>
              <w:right w:val="single" w:sz="4" w:space="0" w:color="auto"/>
            </w:tcBorders>
            <w:vAlign w:val="center"/>
          </w:tcPr>
          <w:p w:rsidR="00A07EDC" w:rsidRPr="00FF4BF5" w:rsidRDefault="00A07EDC" w:rsidP="008C537C">
            <w:pPr>
              <w:rPr>
                <w:rFonts w:ascii="Century Gothic" w:hAnsi="Century Gothic" w:cs="Calibri"/>
                <w:sz w:val="20"/>
                <w:szCs w:val="20"/>
                <w:lang w:eastAsia="pl-PL"/>
              </w:rPr>
            </w:pPr>
            <w:r>
              <w:rPr>
                <w:rFonts w:ascii="Century Gothic" w:hAnsi="Century Gothic" w:cs="Calibri"/>
                <w:sz w:val="20"/>
                <w:szCs w:val="20"/>
                <w:lang w:eastAsia="pl-PL"/>
              </w:rPr>
              <w:t>Lp.</w:t>
            </w:r>
          </w:p>
        </w:tc>
        <w:tc>
          <w:tcPr>
            <w:tcW w:w="55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EDC" w:rsidRPr="00FF4BF5" w:rsidRDefault="00A07EDC" w:rsidP="008C537C">
            <w:pPr>
              <w:rPr>
                <w:rFonts w:ascii="Century Gothic" w:hAnsi="Century Gothic" w:cs="Calibri"/>
                <w:sz w:val="20"/>
                <w:szCs w:val="20"/>
                <w:lang w:eastAsia="pl-PL"/>
              </w:rPr>
            </w:pPr>
            <w:r w:rsidRPr="00FF4BF5">
              <w:rPr>
                <w:rFonts w:ascii="Century Gothic" w:hAnsi="Century Gothic" w:cs="Calibri"/>
                <w:sz w:val="20"/>
                <w:szCs w:val="20"/>
                <w:lang w:eastAsia="pl-PL"/>
              </w:rPr>
              <w:t>Przedmiot</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A07EDC" w:rsidRPr="00FF4BF5" w:rsidRDefault="00A07EDC" w:rsidP="008C537C">
            <w:pPr>
              <w:jc w:val="center"/>
              <w:rPr>
                <w:rFonts w:ascii="Century Gothic" w:hAnsi="Century Gothic" w:cs="Calibri"/>
                <w:sz w:val="20"/>
                <w:szCs w:val="20"/>
                <w:lang w:eastAsia="pl-PL"/>
              </w:rPr>
            </w:pPr>
            <w:r w:rsidRPr="00FF4BF5">
              <w:rPr>
                <w:rFonts w:ascii="Century Gothic" w:hAnsi="Century Gothic" w:cs="Calibri"/>
                <w:sz w:val="20"/>
                <w:szCs w:val="20"/>
                <w:lang w:eastAsia="pl-PL"/>
              </w:rPr>
              <w:t>Liczba sztuk</w:t>
            </w:r>
          </w:p>
        </w:tc>
        <w:tc>
          <w:tcPr>
            <w:tcW w:w="2551" w:type="dxa"/>
            <w:gridSpan w:val="2"/>
            <w:tcBorders>
              <w:top w:val="single" w:sz="4" w:space="0" w:color="auto"/>
              <w:left w:val="nil"/>
              <w:bottom w:val="single" w:sz="4" w:space="0" w:color="auto"/>
              <w:right w:val="single" w:sz="4" w:space="0" w:color="auto"/>
            </w:tcBorders>
            <w:shd w:val="clear" w:color="auto" w:fill="auto"/>
            <w:vAlign w:val="center"/>
            <w:hideMark/>
          </w:tcPr>
          <w:p w:rsidR="00A07EDC" w:rsidRPr="00FF4BF5" w:rsidRDefault="00A07EDC" w:rsidP="008C537C">
            <w:pPr>
              <w:jc w:val="center"/>
              <w:rPr>
                <w:rFonts w:ascii="Century Gothic" w:hAnsi="Century Gothic" w:cs="Calibri"/>
                <w:sz w:val="20"/>
                <w:szCs w:val="20"/>
                <w:lang w:eastAsia="pl-PL"/>
              </w:rPr>
            </w:pPr>
            <w:r w:rsidRPr="00DB32A3">
              <w:rPr>
                <w:rFonts w:ascii="Century Gothic" w:hAnsi="Century Gothic" w:cs="Calibri"/>
                <w:sz w:val="20"/>
                <w:szCs w:val="20"/>
                <w:lang w:eastAsia="pl-PL"/>
              </w:rPr>
              <w:t>Cena jednostkowa brutto sprzętu (w zł)</w:t>
            </w:r>
          </w:p>
        </w:tc>
        <w:tc>
          <w:tcPr>
            <w:tcW w:w="4435" w:type="dxa"/>
            <w:tcBorders>
              <w:top w:val="single" w:sz="4" w:space="0" w:color="auto"/>
              <w:left w:val="nil"/>
              <w:bottom w:val="single" w:sz="4" w:space="0" w:color="auto"/>
              <w:right w:val="single" w:sz="4" w:space="0" w:color="auto"/>
            </w:tcBorders>
            <w:shd w:val="clear" w:color="auto" w:fill="auto"/>
            <w:vAlign w:val="center"/>
            <w:hideMark/>
          </w:tcPr>
          <w:p w:rsidR="00A07EDC" w:rsidRPr="00FF4BF5" w:rsidRDefault="00A07EDC" w:rsidP="008C537C">
            <w:pPr>
              <w:jc w:val="center"/>
              <w:rPr>
                <w:rFonts w:ascii="Century Gothic" w:hAnsi="Century Gothic" w:cs="Calibri"/>
                <w:sz w:val="20"/>
                <w:szCs w:val="20"/>
                <w:lang w:eastAsia="pl-PL"/>
              </w:rPr>
            </w:pPr>
            <w:r w:rsidRPr="00FF4BF5">
              <w:rPr>
                <w:rFonts w:ascii="Century Gothic" w:hAnsi="Century Gothic" w:cs="Calibri"/>
                <w:sz w:val="20"/>
                <w:szCs w:val="20"/>
                <w:lang w:eastAsia="pl-PL"/>
              </w:rPr>
              <w:t>Cena brutto</w:t>
            </w:r>
            <w:r>
              <w:rPr>
                <w:rFonts w:ascii="Century Gothic" w:hAnsi="Century Gothic" w:cs="Calibri"/>
                <w:sz w:val="20"/>
                <w:szCs w:val="20"/>
                <w:lang w:eastAsia="pl-PL"/>
              </w:rPr>
              <w:t xml:space="preserve"> sprzętu w pozycjach</w:t>
            </w:r>
            <w:r w:rsidRPr="00FF4BF5">
              <w:rPr>
                <w:rFonts w:ascii="Century Gothic" w:hAnsi="Century Gothic" w:cs="Calibri"/>
                <w:sz w:val="20"/>
                <w:szCs w:val="20"/>
                <w:lang w:eastAsia="pl-PL"/>
              </w:rPr>
              <w:t xml:space="preserve"> (w zł)</w:t>
            </w:r>
          </w:p>
        </w:tc>
      </w:tr>
      <w:tr w:rsidR="00665F92" w:rsidRPr="00FF4BF5" w:rsidTr="00665F92">
        <w:trPr>
          <w:trHeight w:val="624"/>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13867" w:type="dxa"/>
            <w:gridSpan w:val="6"/>
            <w:tcBorders>
              <w:top w:val="nil"/>
              <w:left w:val="single" w:sz="4" w:space="0" w:color="auto"/>
              <w:bottom w:val="single" w:sz="4" w:space="0" w:color="auto"/>
              <w:right w:val="single" w:sz="4" w:space="0" w:color="auto"/>
            </w:tcBorders>
            <w:vAlign w:val="center"/>
          </w:tcPr>
          <w:p w:rsidR="00665F92" w:rsidRPr="00665F92" w:rsidRDefault="00665F92" w:rsidP="00665F92">
            <w:pPr>
              <w:rPr>
                <w:rFonts w:ascii="Century Gothic" w:hAnsi="Century Gothic" w:cs="Calibri"/>
                <w:sz w:val="20"/>
                <w:szCs w:val="20"/>
                <w:lang w:eastAsia="pl-PL"/>
              </w:rPr>
            </w:pPr>
            <w:r w:rsidRPr="00665F92">
              <w:rPr>
                <w:rFonts w:ascii="Century Gothic" w:hAnsi="Century Gothic"/>
                <w:sz w:val="20"/>
              </w:rPr>
              <w:t>Infuzja OIOM</w:t>
            </w:r>
            <w:r>
              <w:rPr>
                <w:rFonts w:ascii="Century Gothic" w:hAnsi="Century Gothic"/>
                <w:sz w:val="20"/>
              </w:rPr>
              <w:t>:</w:t>
            </w: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hideMark/>
          </w:tcPr>
          <w:p w:rsidR="00665F92" w:rsidRPr="00FF4BF5" w:rsidRDefault="00665F92" w:rsidP="008C537C">
            <w:pPr>
              <w:rPr>
                <w:rFonts w:ascii="Century Gothic" w:hAnsi="Century Gothic" w:cs="Calibri"/>
                <w:lang w:eastAsia="pl-PL"/>
              </w:rPr>
            </w:pPr>
            <w:r w:rsidRPr="00FF4BF5">
              <w:rPr>
                <w:rFonts w:ascii="Century Gothic" w:hAnsi="Century Gothic" w:cs="Calibri"/>
                <w:lang w:eastAsia="pl-PL"/>
              </w:rPr>
              <w:t> </w:t>
            </w:r>
          </w:p>
        </w:tc>
        <w:tc>
          <w:tcPr>
            <w:tcW w:w="502" w:type="dxa"/>
            <w:tcBorders>
              <w:top w:val="nil"/>
              <w:left w:val="single" w:sz="4" w:space="0" w:color="auto"/>
              <w:bottom w:val="single" w:sz="4" w:space="0" w:color="auto"/>
              <w:right w:val="single" w:sz="4" w:space="0" w:color="auto"/>
            </w:tcBorders>
            <w:vAlign w:val="center"/>
          </w:tcPr>
          <w:p w:rsidR="00665F92" w:rsidRPr="00FF4BF5" w:rsidRDefault="00665F92" w:rsidP="008C537C">
            <w:pPr>
              <w:rPr>
                <w:rFonts w:ascii="Century Gothic" w:hAnsi="Century Gothic"/>
                <w:sz w:val="20"/>
              </w:rPr>
            </w:pPr>
            <w:r>
              <w:rPr>
                <w:rFonts w:ascii="Century Gothic" w:hAnsi="Century Gothic"/>
                <w:sz w:val="20"/>
              </w:rPr>
              <w:t>1.</w:t>
            </w:r>
          </w:p>
        </w:tc>
        <w:tc>
          <w:tcPr>
            <w:tcW w:w="5528" w:type="dxa"/>
            <w:tcBorders>
              <w:top w:val="nil"/>
              <w:left w:val="single" w:sz="4" w:space="0" w:color="auto"/>
              <w:bottom w:val="single" w:sz="4" w:space="0" w:color="auto"/>
              <w:right w:val="single" w:sz="4" w:space="0" w:color="auto"/>
            </w:tcBorders>
            <w:shd w:val="clear" w:color="auto" w:fill="auto"/>
            <w:vAlign w:val="center"/>
            <w:hideMark/>
          </w:tcPr>
          <w:p w:rsidR="00665F92" w:rsidRPr="00665F92" w:rsidRDefault="00665F92" w:rsidP="00665F92">
            <w:pPr>
              <w:rPr>
                <w:rFonts w:ascii="Century Gothic" w:hAnsi="Century Gothic" w:cs="Calibri"/>
                <w:sz w:val="20"/>
                <w:szCs w:val="20"/>
                <w:lang w:eastAsia="pl-PL"/>
              </w:rPr>
            </w:pPr>
            <w:r w:rsidRPr="00665F92">
              <w:rPr>
                <w:rFonts w:ascii="Century Gothic" w:hAnsi="Century Gothic"/>
                <w:sz w:val="20"/>
                <w:szCs w:val="20"/>
              </w:rPr>
              <w:t>Pompy strzykawkowe (biblioteka leków)</w:t>
            </w:r>
          </w:p>
        </w:tc>
        <w:tc>
          <w:tcPr>
            <w:tcW w:w="851" w:type="dxa"/>
            <w:tcBorders>
              <w:top w:val="nil"/>
              <w:left w:val="nil"/>
              <w:bottom w:val="single" w:sz="4" w:space="0" w:color="auto"/>
              <w:right w:val="single" w:sz="4" w:space="0" w:color="auto"/>
            </w:tcBorders>
            <w:shd w:val="clear" w:color="auto" w:fill="auto"/>
            <w:vAlign w:val="center"/>
            <w:hideMark/>
          </w:tcPr>
          <w:p w:rsidR="00665F92" w:rsidRPr="00665F92" w:rsidRDefault="00665F92" w:rsidP="00665F92">
            <w:pPr>
              <w:jc w:val="center"/>
              <w:rPr>
                <w:rFonts w:ascii="Century Gothic" w:hAnsi="Century Gothic" w:cs="Calibri"/>
                <w:sz w:val="20"/>
                <w:szCs w:val="20"/>
                <w:lang w:eastAsia="pl-PL"/>
              </w:rPr>
            </w:pPr>
            <w:r w:rsidRPr="00665F92">
              <w:rPr>
                <w:rFonts w:ascii="Century Gothic" w:hAnsi="Century Gothic"/>
                <w:sz w:val="20"/>
                <w:szCs w:val="20"/>
              </w:rPr>
              <w:t>574</w:t>
            </w:r>
          </w:p>
        </w:tc>
        <w:tc>
          <w:tcPr>
            <w:tcW w:w="2551" w:type="dxa"/>
            <w:gridSpan w:val="2"/>
            <w:tcBorders>
              <w:top w:val="nil"/>
              <w:left w:val="nil"/>
              <w:bottom w:val="single" w:sz="4" w:space="0" w:color="auto"/>
              <w:right w:val="single" w:sz="4" w:space="0" w:color="auto"/>
            </w:tcBorders>
            <w:shd w:val="clear" w:color="auto" w:fill="auto"/>
            <w:vAlign w:val="center"/>
            <w:hideMark/>
          </w:tcPr>
          <w:p w:rsidR="00665F92" w:rsidRPr="00665F92" w:rsidRDefault="00665F92" w:rsidP="008C537C">
            <w:pPr>
              <w:jc w:val="center"/>
              <w:rPr>
                <w:rFonts w:ascii="Century Gothic" w:hAnsi="Century Gothic" w:cs="Calibri"/>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hideMark/>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2.</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sidRPr="00665F92">
              <w:rPr>
                <w:rFonts w:ascii="Century Gothic" w:hAnsi="Century Gothic"/>
                <w:sz w:val="20"/>
                <w:szCs w:val="20"/>
              </w:rPr>
              <w:t>Pompy strzykawkowe (biblioteka leków, pomiar w linii)</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65</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3.</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Pr>
                <w:rFonts w:ascii="Century Gothic" w:hAnsi="Century Gothic"/>
                <w:sz w:val="20"/>
                <w:szCs w:val="20"/>
              </w:rPr>
              <w:t xml:space="preserve">Pompy objętościowe </w:t>
            </w:r>
            <w:r w:rsidRPr="00665F92">
              <w:rPr>
                <w:rFonts w:ascii="Century Gothic" w:hAnsi="Century Gothic"/>
                <w:sz w:val="20"/>
                <w:szCs w:val="20"/>
              </w:rPr>
              <w:t>(biblioteka leków)</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261</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4.</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Pr>
                <w:rFonts w:ascii="Century Gothic" w:hAnsi="Century Gothic"/>
                <w:sz w:val="20"/>
                <w:szCs w:val="20"/>
              </w:rPr>
              <w:t>S</w:t>
            </w:r>
            <w:r w:rsidRPr="00665F92">
              <w:rPr>
                <w:rFonts w:ascii="Century Gothic" w:hAnsi="Century Gothic"/>
                <w:sz w:val="20"/>
                <w:szCs w:val="20"/>
              </w:rPr>
              <w:t>tacja dokująca 4 COM</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155</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5.</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45526A" w:rsidRDefault="00665F92" w:rsidP="00665F92">
            <w:pPr>
              <w:rPr>
                <w:rFonts w:ascii="Century Gothic" w:hAnsi="Century Gothic"/>
                <w:sz w:val="20"/>
                <w:szCs w:val="20"/>
                <w:highlight w:val="yellow"/>
              </w:rPr>
            </w:pPr>
            <w:r w:rsidRPr="0045526A">
              <w:rPr>
                <w:rFonts w:ascii="Century Gothic" w:hAnsi="Century Gothic"/>
                <w:sz w:val="20"/>
                <w:szCs w:val="20"/>
                <w:highlight w:val="yellow"/>
              </w:rPr>
              <w:t>Stacja dokująca 6 lub 8 COM</w:t>
            </w:r>
          </w:p>
        </w:tc>
        <w:tc>
          <w:tcPr>
            <w:tcW w:w="851" w:type="dxa"/>
            <w:tcBorders>
              <w:top w:val="nil"/>
              <w:left w:val="nil"/>
              <w:bottom w:val="single" w:sz="4" w:space="0" w:color="auto"/>
              <w:right w:val="single" w:sz="4" w:space="0" w:color="auto"/>
            </w:tcBorders>
            <w:shd w:val="clear" w:color="auto" w:fill="auto"/>
            <w:vAlign w:val="center"/>
          </w:tcPr>
          <w:p w:rsidR="00665F92" w:rsidRPr="0045526A" w:rsidRDefault="0045526A" w:rsidP="00665F92">
            <w:pPr>
              <w:jc w:val="center"/>
              <w:rPr>
                <w:rFonts w:ascii="Century Gothic" w:hAnsi="Century Gothic" w:cs="Calibri"/>
                <w:bCs/>
                <w:sz w:val="20"/>
                <w:szCs w:val="20"/>
                <w:highlight w:val="yellow"/>
                <w:lang w:eastAsia="pl-PL"/>
              </w:rPr>
            </w:pPr>
            <w:r w:rsidRPr="0045526A">
              <w:rPr>
                <w:rFonts w:ascii="Century Gothic" w:hAnsi="Century Gothic"/>
                <w:sz w:val="20"/>
                <w:szCs w:val="20"/>
                <w:highlight w:val="yellow"/>
              </w:rPr>
              <w:t>56</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6.</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Pr>
                <w:rFonts w:ascii="Century Gothic" w:hAnsi="Century Gothic"/>
                <w:sz w:val="20"/>
                <w:szCs w:val="20"/>
              </w:rPr>
              <w:t>O</w:t>
            </w:r>
            <w:r w:rsidRPr="00665F92">
              <w:rPr>
                <w:rFonts w:ascii="Century Gothic" w:hAnsi="Century Gothic"/>
                <w:sz w:val="20"/>
                <w:szCs w:val="20"/>
              </w:rPr>
              <w:t>programowanie do zarządzania infuzją</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7.</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Pr>
                <w:rFonts w:ascii="Century Gothic" w:hAnsi="Century Gothic"/>
                <w:sz w:val="20"/>
                <w:szCs w:val="20"/>
              </w:rPr>
              <w:t>T</w:t>
            </w:r>
            <w:r w:rsidRPr="00665F92">
              <w:rPr>
                <w:rFonts w:ascii="Century Gothic" w:hAnsi="Century Gothic"/>
                <w:sz w:val="20"/>
                <w:szCs w:val="20"/>
              </w:rPr>
              <w:t xml:space="preserve">ester do pomp </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8.</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sidRPr="00665F92">
              <w:rPr>
                <w:rFonts w:ascii="Century Gothic" w:hAnsi="Century Gothic"/>
                <w:sz w:val="20"/>
                <w:szCs w:val="20"/>
              </w:rPr>
              <w:t xml:space="preserve">Zasilacz UPS  </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10</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9.</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sidRPr="00665F92">
              <w:rPr>
                <w:rFonts w:ascii="Century Gothic" w:hAnsi="Century Gothic"/>
                <w:sz w:val="20"/>
                <w:szCs w:val="20"/>
              </w:rPr>
              <w:t>Tester bezpieczeństwa elektrycznego</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CF14B1">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10.</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sidRPr="00665F92">
              <w:rPr>
                <w:rFonts w:ascii="Century Gothic" w:hAnsi="Century Gothic"/>
                <w:sz w:val="20"/>
                <w:szCs w:val="20"/>
              </w:rPr>
              <w:t>Stacja do pracy pomp w środowisku MRI</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CF14B1">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single" w:sz="4" w:space="0" w:color="auto"/>
              <w:left w:val="single" w:sz="4" w:space="0" w:color="auto"/>
              <w:bottom w:val="single" w:sz="4" w:space="0" w:color="auto"/>
              <w:right w:val="single" w:sz="4" w:space="0" w:color="auto"/>
            </w:tcBorders>
            <w:vAlign w:val="center"/>
          </w:tcPr>
          <w:p w:rsidR="00665F92" w:rsidRPr="00FF4BF5" w:rsidRDefault="00665F92" w:rsidP="008C537C">
            <w:pPr>
              <w:rPr>
                <w:rFonts w:ascii="Century Gothic" w:hAnsi="Century Gothic"/>
                <w:sz w:val="20"/>
              </w:rPr>
            </w:pPr>
            <w:r>
              <w:rPr>
                <w:rFonts w:ascii="Century Gothic" w:hAnsi="Century Gothic"/>
                <w:sz w:val="20"/>
              </w:rPr>
              <w:t>11.</w:t>
            </w:r>
          </w:p>
        </w:tc>
        <w:tc>
          <w:tcPr>
            <w:tcW w:w="5528" w:type="dxa"/>
            <w:tcBorders>
              <w:top w:val="single" w:sz="4" w:space="0" w:color="auto"/>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sidRPr="00665F92">
              <w:rPr>
                <w:rFonts w:ascii="Century Gothic" w:hAnsi="Century Gothic"/>
                <w:sz w:val="20"/>
                <w:szCs w:val="20"/>
              </w:rPr>
              <w:t>Pompy TCI-TIVA</w:t>
            </w:r>
          </w:p>
        </w:tc>
        <w:tc>
          <w:tcPr>
            <w:tcW w:w="851" w:type="dxa"/>
            <w:tcBorders>
              <w:top w:val="single" w:sz="4" w:space="0" w:color="auto"/>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68</w:t>
            </w:r>
          </w:p>
        </w:tc>
        <w:tc>
          <w:tcPr>
            <w:tcW w:w="2551" w:type="dxa"/>
            <w:gridSpan w:val="2"/>
            <w:tcBorders>
              <w:top w:val="single" w:sz="4" w:space="0" w:color="auto"/>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single" w:sz="4" w:space="0" w:color="auto"/>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A07EDC" w:rsidRPr="00FF4BF5" w:rsidTr="008C537C">
        <w:trPr>
          <w:trHeight w:val="737"/>
        </w:trPr>
        <w:tc>
          <w:tcPr>
            <w:tcW w:w="207" w:type="dxa"/>
            <w:tcBorders>
              <w:top w:val="nil"/>
              <w:left w:val="single" w:sz="4" w:space="0" w:color="auto"/>
              <w:bottom w:val="nil"/>
              <w:right w:val="nil"/>
            </w:tcBorders>
            <w:shd w:val="clear" w:color="auto" w:fill="auto"/>
            <w:noWrap/>
            <w:vAlign w:val="bottom"/>
          </w:tcPr>
          <w:p w:rsidR="00A07EDC" w:rsidRPr="00FF4BF5" w:rsidRDefault="00A07EDC" w:rsidP="008C537C">
            <w:pPr>
              <w:rPr>
                <w:rFonts w:ascii="Century Gothic" w:hAnsi="Century Gothic" w:cs="Calibri"/>
                <w:lang w:eastAsia="pl-PL"/>
              </w:rPr>
            </w:pPr>
          </w:p>
        </w:tc>
        <w:tc>
          <w:tcPr>
            <w:tcW w:w="502" w:type="dxa"/>
            <w:tcBorders>
              <w:top w:val="nil"/>
              <w:left w:val="nil"/>
              <w:bottom w:val="nil"/>
              <w:right w:val="nil"/>
            </w:tcBorders>
          </w:tcPr>
          <w:p w:rsidR="00A07EDC" w:rsidRPr="00FF4BF5" w:rsidRDefault="00A07EDC" w:rsidP="008C537C">
            <w:pPr>
              <w:rPr>
                <w:rFonts w:ascii="Century Gothic" w:hAnsi="Century Gothic"/>
                <w:sz w:val="20"/>
              </w:rPr>
            </w:pPr>
          </w:p>
        </w:tc>
        <w:tc>
          <w:tcPr>
            <w:tcW w:w="5528" w:type="dxa"/>
            <w:tcBorders>
              <w:top w:val="nil"/>
              <w:left w:val="nil"/>
              <w:bottom w:val="nil"/>
              <w:right w:val="single" w:sz="4" w:space="0" w:color="auto"/>
            </w:tcBorders>
            <w:shd w:val="clear" w:color="auto" w:fill="auto"/>
            <w:vAlign w:val="center"/>
          </w:tcPr>
          <w:p w:rsidR="00A07EDC" w:rsidRPr="00FF4BF5" w:rsidRDefault="00A07EDC" w:rsidP="008C537C">
            <w:pPr>
              <w:rPr>
                <w:rFonts w:ascii="Century Gothic" w:hAnsi="Century Gothic"/>
                <w:sz w:val="20"/>
              </w:rPr>
            </w:pPr>
          </w:p>
        </w:tc>
        <w:tc>
          <w:tcPr>
            <w:tcW w:w="340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07EDC" w:rsidRPr="00FF4BF5" w:rsidRDefault="00A07EDC" w:rsidP="008C537C">
            <w:pPr>
              <w:rPr>
                <w:rFonts w:ascii="Century Gothic" w:hAnsi="Century Gothic" w:cs="Calibri"/>
                <w:bCs/>
                <w:sz w:val="20"/>
                <w:szCs w:val="20"/>
                <w:lang w:eastAsia="pl-PL"/>
              </w:rPr>
            </w:pPr>
            <w:r w:rsidRPr="003C130B">
              <w:rPr>
                <w:rFonts w:ascii="Century Gothic" w:hAnsi="Century Gothic" w:cs="Calibri"/>
                <w:b/>
                <w:bCs/>
                <w:sz w:val="20"/>
                <w:szCs w:val="20"/>
                <w:lang w:eastAsia="pl-PL"/>
              </w:rPr>
              <w:t>A:</w:t>
            </w:r>
            <w:r>
              <w:rPr>
                <w:rFonts w:ascii="Century Gothic" w:hAnsi="Century Gothic" w:cs="Calibri"/>
                <w:bCs/>
                <w:sz w:val="20"/>
                <w:szCs w:val="20"/>
                <w:lang w:eastAsia="pl-PL"/>
              </w:rPr>
              <w:t xml:space="preserve"> Łączna cena brutto spr</w:t>
            </w:r>
            <w:r w:rsidR="00665F92">
              <w:rPr>
                <w:rFonts w:ascii="Century Gothic" w:hAnsi="Century Gothic" w:cs="Calibri"/>
                <w:bCs/>
                <w:sz w:val="20"/>
                <w:szCs w:val="20"/>
                <w:lang w:eastAsia="pl-PL"/>
              </w:rPr>
              <w:t>zętu w zł (suma cen z poz. 1-11</w:t>
            </w:r>
            <w:r>
              <w:rPr>
                <w:rFonts w:ascii="Century Gothic" w:hAnsi="Century Gothic" w:cs="Calibri"/>
                <w:bCs/>
                <w:sz w:val="20"/>
                <w:szCs w:val="20"/>
                <w:lang w:eastAsia="pl-PL"/>
              </w:rPr>
              <w:t>):</w:t>
            </w:r>
          </w:p>
        </w:tc>
        <w:tc>
          <w:tcPr>
            <w:tcW w:w="4435" w:type="dxa"/>
            <w:tcBorders>
              <w:top w:val="single" w:sz="4" w:space="0" w:color="auto"/>
              <w:left w:val="single" w:sz="4" w:space="0" w:color="auto"/>
              <w:bottom w:val="single" w:sz="4" w:space="0" w:color="auto"/>
              <w:right w:val="single" w:sz="4" w:space="0" w:color="auto"/>
            </w:tcBorders>
            <w:shd w:val="clear" w:color="auto" w:fill="auto"/>
            <w:vAlign w:val="center"/>
          </w:tcPr>
          <w:p w:rsidR="00A07EDC" w:rsidRPr="00FF4BF5" w:rsidRDefault="00A07EDC" w:rsidP="008C537C">
            <w:pPr>
              <w:jc w:val="center"/>
              <w:rPr>
                <w:rFonts w:ascii="Century Gothic" w:hAnsi="Century Gothic" w:cs="Calibri"/>
                <w:sz w:val="20"/>
                <w:szCs w:val="20"/>
                <w:lang w:eastAsia="pl-PL"/>
              </w:rPr>
            </w:pPr>
          </w:p>
        </w:tc>
      </w:tr>
      <w:tr w:rsidR="00A07EDC" w:rsidRPr="00FF4BF5" w:rsidTr="008C537C">
        <w:trPr>
          <w:trHeight w:val="300"/>
        </w:trPr>
        <w:tc>
          <w:tcPr>
            <w:tcW w:w="207" w:type="dxa"/>
            <w:tcBorders>
              <w:top w:val="nil"/>
              <w:left w:val="single" w:sz="4" w:space="0" w:color="auto"/>
              <w:bottom w:val="nil"/>
              <w:right w:val="nil"/>
            </w:tcBorders>
            <w:shd w:val="clear" w:color="auto" w:fill="auto"/>
            <w:noWrap/>
            <w:vAlign w:val="bottom"/>
            <w:hideMark/>
          </w:tcPr>
          <w:p w:rsidR="00A07EDC" w:rsidRPr="00FF4BF5" w:rsidRDefault="00A07EDC" w:rsidP="008C537C">
            <w:pPr>
              <w:rPr>
                <w:rFonts w:ascii="Century Gothic" w:hAnsi="Century Gothic" w:cs="Calibri"/>
                <w:lang w:eastAsia="pl-PL"/>
              </w:rPr>
            </w:pPr>
            <w:r w:rsidRPr="00FF4BF5">
              <w:rPr>
                <w:rFonts w:ascii="Century Gothic" w:hAnsi="Century Gothic" w:cs="Calibri"/>
                <w:lang w:eastAsia="pl-PL"/>
              </w:rPr>
              <w:t> </w:t>
            </w:r>
          </w:p>
        </w:tc>
        <w:tc>
          <w:tcPr>
            <w:tcW w:w="502" w:type="dxa"/>
            <w:tcBorders>
              <w:top w:val="nil"/>
              <w:left w:val="nil"/>
              <w:bottom w:val="nil"/>
              <w:right w:val="nil"/>
            </w:tcBorders>
          </w:tcPr>
          <w:p w:rsidR="00A07EDC" w:rsidRPr="00FF4BF5" w:rsidRDefault="00A07EDC" w:rsidP="008C537C">
            <w:pPr>
              <w:rPr>
                <w:rFonts w:ascii="Century Gothic" w:hAnsi="Century Gothic" w:cs="Calibri"/>
                <w:lang w:eastAsia="pl-PL"/>
              </w:rPr>
            </w:pPr>
          </w:p>
        </w:tc>
        <w:tc>
          <w:tcPr>
            <w:tcW w:w="5528" w:type="dxa"/>
            <w:tcBorders>
              <w:top w:val="nil"/>
              <w:left w:val="nil"/>
              <w:bottom w:val="nil"/>
              <w:right w:val="nil"/>
            </w:tcBorders>
            <w:shd w:val="clear" w:color="auto" w:fill="auto"/>
            <w:noWrap/>
            <w:vAlign w:val="center"/>
            <w:hideMark/>
          </w:tcPr>
          <w:p w:rsidR="00A07EDC" w:rsidRPr="00FF4BF5" w:rsidRDefault="00A07EDC" w:rsidP="008C537C">
            <w:pPr>
              <w:rPr>
                <w:rFonts w:ascii="Century Gothic" w:hAnsi="Century Gothic" w:cs="Calibri"/>
                <w:lang w:eastAsia="pl-PL"/>
              </w:rPr>
            </w:pPr>
          </w:p>
        </w:tc>
        <w:tc>
          <w:tcPr>
            <w:tcW w:w="1013" w:type="dxa"/>
            <w:gridSpan w:val="2"/>
            <w:tcBorders>
              <w:top w:val="single" w:sz="4" w:space="0" w:color="auto"/>
              <w:left w:val="nil"/>
              <w:bottom w:val="nil"/>
              <w:right w:val="nil"/>
            </w:tcBorders>
            <w:shd w:val="clear" w:color="auto" w:fill="auto"/>
            <w:noWrap/>
            <w:vAlign w:val="center"/>
            <w:hideMark/>
          </w:tcPr>
          <w:p w:rsidR="00A07EDC" w:rsidRPr="00FF4BF5" w:rsidRDefault="00A07EDC" w:rsidP="008C537C">
            <w:pPr>
              <w:rPr>
                <w:rFonts w:ascii="Century Gothic" w:hAnsi="Century Gothic"/>
                <w:sz w:val="20"/>
                <w:szCs w:val="20"/>
                <w:lang w:eastAsia="pl-PL"/>
              </w:rPr>
            </w:pPr>
          </w:p>
        </w:tc>
        <w:tc>
          <w:tcPr>
            <w:tcW w:w="2389" w:type="dxa"/>
            <w:tcBorders>
              <w:top w:val="single" w:sz="4" w:space="0" w:color="auto"/>
              <w:left w:val="nil"/>
              <w:bottom w:val="nil"/>
              <w:right w:val="nil"/>
            </w:tcBorders>
            <w:shd w:val="clear" w:color="auto" w:fill="auto"/>
            <w:noWrap/>
            <w:vAlign w:val="bottom"/>
            <w:hideMark/>
          </w:tcPr>
          <w:p w:rsidR="00A07EDC" w:rsidRPr="00FF4BF5" w:rsidRDefault="00A07EDC" w:rsidP="008C537C">
            <w:pPr>
              <w:rPr>
                <w:rFonts w:ascii="Century Gothic" w:hAnsi="Century Gothic"/>
                <w:sz w:val="20"/>
                <w:szCs w:val="20"/>
                <w:lang w:eastAsia="pl-PL"/>
              </w:rPr>
            </w:pPr>
          </w:p>
        </w:tc>
        <w:tc>
          <w:tcPr>
            <w:tcW w:w="4435" w:type="dxa"/>
            <w:tcBorders>
              <w:top w:val="nil"/>
              <w:left w:val="nil"/>
              <w:bottom w:val="single" w:sz="4" w:space="0" w:color="auto"/>
              <w:right w:val="single" w:sz="4" w:space="0" w:color="auto"/>
            </w:tcBorders>
            <w:shd w:val="clear" w:color="auto" w:fill="auto"/>
            <w:noWrap/>
            <w:vAlign w:val="bottom"/>
            <w:hideMark/>
          </w:tcPr>
          <w:p w:rsidR="00A07EDC" w:rsidRPr="00FF4BF5" w:rsidRDefault="00A07EDC" w:rsidP="008C537C">
            <w:pPr>
              <w:jc w:val="center"/>
              <w:rPr>
                <w:rFonts w:ascii="Century Gothic" w:hAnsi="Century Gothic"/>
                <w:sz w:val="20"/>
                <w:szCs w:val="20"/>
                <w:lang w:eastAsia="pl-PL"/>
              </w:rPr>
            </w:pPr>
          </w:p>
        </w:tc>
      </w:tr>
      <w:tr w:rsidR="00A07EDC" w:rsidRPr="00FF4BF5" w:rsidTr="008C537C">
        <w:trPr>
          <w:trHeight w:val="667"/>
        </w:trPr>
        <w:tc>
          <w:tcPr>
            <w:tcW w:w="207" w:type="dxa"/>
            <w:tcBorders>
              <w:top w:val="nil"/>
              <w:left w:val="single" w:sz="4" w:space="0" w:color="auto"/>
              <w:bottom w:val="nil"/>
              <w:right w:val="nil"/>
            </w:tcBorders>
            <w:shd w:val="clear" w:color="auto" w:fill="auto"/>
            <w:noWrap/>
            <w:vAlign w:val="bottom"/>
            <w:hideMark/>
          </w:tcPr>
          <w:p w:rsidR="00A07EDC" w:rsidRPr="00FF4BF5" w:rsidRDefault="00A07EDC" w:rsidP="008C537C">
            <w:pPr>
              <w:rPr>
                <w:rFonts w:ascii="Century Gothic" w:hAnsi="Century Gothic" w:cs="Calibri"/>
                <w:lang w:eastAsia="pl-PL"/>
              </w:rPr>
            </w:pPr>
            <w:r w:rsidRPr="00FF4BF5">
              <w:rPr>
                <w:rFonts w:ascii="Century Gothic" w:hAnsi="Century Gothic" w:cs="Calibri"/>
                <w:lang w:eastAsia="pl-PL"/>
              </w:rPr>
              <w:t> </w:t>
            </w:r>
          </w:p>
        </w:tc>
        <w:tc>
          <w:tcPr>
            <w:tcW w:w="502" w:type="dxa"/>
            <w:tcBorders>
              <w:top w:val="nil"/>
              <w:left w:val="nil"/>
              <w:bottom w:val="nil"/>
              <w:right w:val="nil"/>
            </w:tcBorders>
          </w:tcPr>
          <w:p w:rsidR="00A07EDC" w:rsidRPr="00FF4BF5" w:rsidRDefault="00A07EDC" w:rsidP="008C537C">
            <w:pPr>
              <w:rPr>
                <w:rFonts w:ascii="Century Gothic" w:hAnsi="Century Gothic" w:cs="Calibri"/>
                <w:lang w:eastAsia="pl-PL"/>
              </w:rPr>
            </w:pPr>
          </w:p>
        </w:tc>
        <w:tc>
          <w:tcPr>
            <w:tcW w:w="5528" w:type="dxa"/>
            <w:tcBorders>
              <w:top w:val="nil"/>
              <w:left w:val="nil"/>
              <w:bottom w:val="nil"/>
              <w:right w:val="single" w:sz="4" w:space="0" w:color="auto"/>
            </w:tcBorders>
            <w:shd w:val="clear" w:color="auto" w:fill="auto"/>
            <w:vAlign w:val="center"/>
            <w:hideMark/>
          </w:tcPr>
          <w:p w:rsidR="00A07EDC" w:rsidRPr="00FF4BF5" w:rsidRDefault="00A07EDC" w:rsidP="008C537C">
            <w:pPr>
              <w:rPr>
                <w:rFonts w:ascii="Century Gothic" w:hAnsi="Century Gothic" w:cs="Calibri"/>
                <w:lang w:eastAsia="pl-PL"/>
              </w:rPr>
            </w:pPr>
          </w:p>
        </w:tc>
        <w:tc>
          <w:tcPr>
            <w:tcW w:w="3402" w:type="dxa"/>
            <w:gridSpan w:val="3"/>
            <w:tcBorders>
              <w:top w:val="single" w:sz="4" w:space="0" w:color="auto"/>
              <w:left w:val="single" w:sz="4" w:space="0" w:color="auto"/>
              <w:bottom w:val="single" w:sz="4" w:space="0" w:color="auto"/>
              <w:right w:val="nil"/>
            </w:tcBorders>
            <w:shd w:val="clear" w:color="auto" w:fill="auto"/>
            <w:vAlign w:val="center"/>
            <w:hideMark/>
          </w:tcPr>
          <w:p w:rsidR="00A07EDC" w:rsidRPr="00FF4BF5" w:rsidRDefault="00A07EDC" w:rsidP="008C537C">
            <w:pPr>
              <w:rPr>
                <w:rFonts w:ascii="Century Gothic" w:hAnsi="Century Gothic"/>
                <w:sz w:val="20"/>
                <w:szCs w:val="20"/>
                <w:lang w:eastAsia="pl-PL"/>
              </w:rPr>
            </w:pPr>
            <w:r w:rsidRPr="00FF4BF5">
              <w:rPr>
                <w:rFonts w:ascii="Century Gothic" w:hAnsi="Century Gothic" w:cs="Calibri"/>
                <w:b/>
                <w:sz w:val="20"/>
                <w:szCs w:val="20"/>
                <w:lang w:eastAsia="pl-PL"/>
              </w:rPr>
              <w:t>B:</w:t>
            </w:r>
            <w:r w:rsidRPr="00FF4BF5">
              <w:rPr>
                <w:rFonts w:ascii="Century Gothic" w:hAnsi="Century Gothic" w:cs="Calibri"/>
                <w:sz w:val="20"/>
                <w:szCs w:val="20"/>
                <w:lang w:eastAsia="pl-PL"/>
              </w:rPr>
              <w:t xml:space="preserve"> Cena brutto dostawy sprzętu do nowej siedziby Szpitala  (w zł):</w:t>
            </w:r>
          </w:p>
        </w:tc>
        <w:tc>
          <w:tcPr>
            <w:tcW w:w="44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EDC" w:rsidRPr="00FF4BF5" w:rsidRDefault="00A07EDC" w:rsidP="008C537C">
            <w:pPr>
              <w:jc w:val="center"/>
              <w:rPr>
                <w:rFonts w:ascii="Century Gothic" w:hAnsi="Century Gothic" w:cs="Calibri"/>
                <w:sz w:val="20"/>
                <w:szCs w:val="20"/>
                <w:lang w:eastAsia="pl-PL"/>
              </w:rPr>
            </w:pPr>
          </w:p>
        </w:tc>
      </w:tr>
      <w:tr w:rsidR="00A07EDC" w:rsidRPr="00FF4BF5" w:rsidTr="008C537C">
        <w:trPr>
          <w:trHeight w:val="316"/>
        </w:trPr>
        <w:tc>
          <w:tcPr>
            <w:tcW w:w="207" w:type="dxa"/>
            <w:tcBorders>
              <w:top w:val="nil"/>
              <w:left w:val="single" w:sz="4" w:space="0" w:color="auto"/>
              <w:right w:val="nil"/>
            </w:tcBorders>
            <w:shd w:val="clear" w:color="auto" w:fill="auto"/>
            <w:noWrap/>
            <w:vAlign w:val="bottom"/>
          </w:tcPr>
          <w:p w:rsidR="00A07EDC" w:rsidRPr="00FF4BF5" w:rsidRDefault="00A07EDC" w:rsidP="008C537C">
            <w:pPr>
              <w:rPr>
                <w:rFonts w:ascii="Century Gothic" w:hAnsi="Century Gothic" w:cs="Calibri"/>
                <w:lang w:eastAsia="pl-PL"/>
              </w:rPr>
            </w:pPr>
          </w:p>
        </w:tc>
        <w:tc>
          <w:tcPr>
            <w:tcW w:w="502" w:type="dxa"/>
            <w:tcBorders>
              <w:top w:val="nil"/>
              <w:left w:val="nil"/>
              <w:right w:val="nil"/>
            </w:tcBorders>
          </w:tcPr>
          <w:p w:rsidR="00A07EDC" w:rsidRPr="00FF4BF5" w:rsidRDefault="00A07EDC" w:rsidP="008C537C">
            <w:pPr>
              <w:rPr>
                <w:rFonts w:ascii="Century Gothic" w:hAnsi="Century Gothic" w:cs="Calibri"/>
                <w:lang w:eastAsia="pl-PL"/>
              </w:rPr>
            </w:pPr>
          </w:p>
        </w:tc>
        <w:tc>
          <w:tcPr>
            <w:tcW w:w="5528" w:type="dxa"/>
            <w:tcBorders>
              <w:top w:val="nil"/>
              <w:left w:val="nil"/>
              <w:right w:val="nil"/>
            </w:tcBorders>
            <w:shd w:val="clear" w:color="auto" w:fill="auto"/>
            <w:vAlign w:val="center"/>
          </w:tcPr>
          <w:p w:rsidR="00A07EDC" w:rsidRPr="00FF4BF5" w:rsidRDefault="00A07EDC" w:rsidP="008C537C">
            <w:pPr>
              <w:rPr>
                <w:rFonts w:ascii="Century Gothic" w:hAnsi="Century Gothic" w:cs="Calibri"/>
                <w:lang w:eastAsia="pl-PL"/>
              </w:rPr>
            </w:pPr>
          </w:p>
        </w:tc>
        <w:tc>
          <w:tcPr>
            <w:tcW w:w="3402" w:type="dxa"/>
            <w:gridSpan w:val="3"/>
            <w:tcBorders>
              <w:top w:val="single" w:sz="4" w:space="0" w:color="auto"/>
              <w:left w:val="nil"/>
              <w:bottom w:val="single" w:sz="4" w:space="0" w:color="auto"/>
            </w:tcBorders>
            <w:shd w:val="clear" w:color="auto" w:fill="auto"/>
            <w:vAlign w:val="center"/>
          </w:tcPr>
          <w:p w:rsidR="00A07EDC" w:rsidRPr="00FF4BF5" w:rsidRDefault="00A07EDC" w:rsidP="008C537C">
            <w:pPr>
              <w:rPr>
                <w:rFonts w:ascii="Century Gothic" w:hAnsi="Century Gothic"/>
                <w:sz w:val="20"/>
                <w:szCs w:val="20"/>
                <w:lang w:eastAsia="pl-PL"/>
              </w:rPr>
            </w:pPr>
          </w:p>
        </w:tc>
        <w:tc>
          <w:tcPr>
            <w:tcW w:w="4435" w:type="dxa"/>
            <w:tcBorders>
              <w:top w:val="single" w:sz="4" w:space="0" w:color="auto"/>
              <w:bottom w:val="single" w:sz="4" w:space="0" w:color="auto"/>
              <w:right w:val="single" w:sz="4" w:space="0" w:color="auto"/>
            </w:tcBorders>
            <w:shd w:val="clear" w:color="auto" w:fill="auto"/>
            <w:noWrap/>
            <w:vAlign w:val="bottom"/>
          </w:tcPr>
          <w:p w:rsidR="00A07EDC" w:rsidRPr="00FF4BF5" w:rsidRDefault="00A07EDC" w:rsidP="008C537C">
            <w:pPr>
              <w:jc w:val="center"/>
              <w:rPr>
                <w:rFonts w:ascii="Century Gothic" w:hAnsi="Century Gothic" w:cs="Calibri"/>
                <w:b/>
                <w:sz w:val="20"/>
                <w:szCs w:val="20"/>
                <w:lang w:eastAsia="pl-PL"/>
              </w:rPr>
            </w:pPr>
          </w:p>
        </w:tc>
      </w:tr>
      <w:tr w:rsidR="00A07EDC" w:rsidRPr="00FF4BF5" w:rsidTr="008C537C">
        <w:trPr>
          <w:trHeight w:val="937"/>
        </w:trPr>
        <w:tc>
          <w:tcPr>
            <w:tcW w:w="207" w:type="dxa"/>
            <w:tcBorders>
              <w:left w:val="single" w:sz="4" w:space="0" w:color="auto"/>
              <w:bottom w:val="single" w:sz="4" w:space="0" w:color="auto"/>
              <w:right w:val="nil"/>
            </w:tcBorders>
            <w:shd w:val="clear" w:color="auto" w:fill="auto"/>
            <w:noWrap/>
            <w:vAlign w:val="bottom"/>
          </w:tcPr>
          <w:p w:rsidR="00A07EDC" w:rsidRPr="00FF4BF5" w:rsidRDefault="00A07EDC" w:rsidP="008C537C">
            <w:pPr>
              <w:rPr>
                <w:rFonts w:ascii="Century Gothic" w:hAnsi="Century Gothic" w:cs="Calibri"/>
                <w:lang w:eastAsia="pl-PL"/>
              </w:rPr>
            </w:pPr>
          </w:p>
        </w:tc>
        <w:tc>
          <w:tcPr>
            <w:tcW w:w="502" w:type="dxa"/>
            <w:tcBorders>
              <w:left w:val="nil"/>
              <w:bottom w:val="single" w:sz="4" w:space="0" w:color="auto"/>
              <w:right w:val="nil"/>
            </w:tcBorders>
          </w:tcPr>
          <w:p w:rsidR="00A07EDC" w:rsidRPr="00FF4BF5" w:rsidRDefault="00A07EDC" w:rsidP="008C537C">
            <w:pPr>
              <w:rPr>
                <w:rFonts w:ascii="Century Gothic" w:hAnsi="Century Gothic" w:cs="Calibri"/>
                <w:lang w:eastAsia="pl-PL"/>
              </w:rPr>
            </w:pPr>
          </w:p>
        </w:tc>
        <w:tc>
          <w:tcPr>
            <w:tcW w:w="5528" w:type="dxa"/>
            <w:tcBorders>
              <w:left w:val="nil"/>
              <w:bottom w:val="single" w:sz="4" w:space="0" w:color="auto"/>
              <w:right w:val="single" w:sz="4" w:space="0" w:color="auto"/>
            </w:tcBorders>
            <w:shd w:val="clear" w:color="auto" w:fill="auto"/>
            <w:vAlign w:val="center"/>
          </w:tcPr>
          <w:p w:rsidR="00A07EDC" w:rsidRPr="00FF4BF5" w:rsidRDefault="00A07EDC" w:rsidP="008C537C">
            <w:pPr>
              <w:rPr>
                <w:rFonts w:ascii="Century Gothic" w:hAnsi="Century Gothic" w:cs="Calibri"/>
                <w:lang w:eastAsia="pl-PL"/>
              </w:rPr>
            </w:pPr>
          </w:p>
        </w:tc>
        <w:tc>
          <w:tcPr>
            <w:tcW w:w="340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07EDC" w:rsidRPr="00FF4BF5" w:rsidRDefault="00A07EDC" w:rsidP="008C537C">
            <w:pPr>
              <w:rPr>
                <w:rFonts w:ascii="Century Gothic" w:hAnsi="Century Gothic"/>
                <w:sz w:val="20"/>
                <w:szCs w:val="20"/>
                <w:lang w:eastAsia="pl-PL"/>
              </w:rPr>
            </w:pPr>
            <w:r w:rsidRPr="00FF4BF5">
              <w:rPr>
                <w:rFonts w:ascii="Century Gothic" w:hAnsi="Century Gothic" w:cs="Calibri"/>
                <w:b/>
                <w:sz w:val="20"/>
                <w:szCs w:val="20"/>
                <w:lang w:eastAsia="pl-PL"/>
              </w:rPr>
              <w:t>C:</w:t>
            </w:r>
            <w:r w:rsidRPr="00FF4BF5">
              <w:rPr>
                <w:rFonts w:ascii="Century Gothic" w:hAnsi="Century Gothic" w:cs="Calibri"/>
                <w:sz w:val="20"/>
                <w:szCs w:val="20"/>
                <w:lang w:eastAsia="pl-PL"/>
              </w:rPr>
              <w:t xml:space="preserve"> Cena brutto instalacji, szkolenia i uruchomienia sprzętu w nowej siedzibie Szpitala (w zł):</w:t>
            </w:r>
          </w:p>
        </w:tc>
        <w:tc>
          <w:tcPr>
            <w:tcW w:w="443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07EDC" w:rsidRPr="00FF4BF5" w:rsidRDefault="00A07EDC" w:rsidP="008C537C">
            <w:pPr>
              <w:jc w:val="center"/>
              <w:rPr>
                <w:rFonts w:ascii="Century Gothic" w:hAnsi="Century Gothic" w:cs="Calibri"/>
                <w:b/>
                <w:sz w:val="20"/>
                <w:szCs w:val="20"/>
                <w:lang w:eastAsia="pl-PL"/>
              </w:rPr>
            </w:pPr>
          </w:p>
        </w:tc>
      </w:tr>
    </w:tbl>
    <w:p w:rsidR="00A07EDC" w:rsidRDefault="00A07EDC" w:rsidP="00A07EDC">
      <w:pPr>
        <w:rPr>
          <w:rFonts w:ascii="Century Gothic" w:hAnsi="Century Gothic"/>
          <w:sz w:val="16"/>
          <w:szCs w:val="16"/>
        </w:rPr>
      </w:pPr>
    </w:p>
    <w:p w:rsidR="00A07EDC" w:rsidRPr="001D57E8" w:rsidRDefault="00A07EDC" w:rsidP="00A07EDC">
      <w:pPr>
        <w:rPr>
          <w:rFonts w:ascii="Century Gothic" w:hAnsi="Century Gothic"/>
          <w:sz w:val="16"/>
          <w:szCs w:val="16"/>
        </w:rPr>
      </w:pPr>
    </w:p>
    <w:tbl>
      <w:tblPr>
        <w:tblW w:w="14074" w:type="dxa"/>
        <w:tblInd w:w="70" w:type="dxa"/>
        <w:tblCellMar>
          <w:left w:w="70" w:type="dxa"/>
          <w:right w:w="70" w:type="dxa"/>
        </w:tblCellMar>
        <w:tblLook w:val="04A0" w:firstRow="1" w:lastRow="0" w:firstColumn="1" w:lastColumn="0" w:noHBand="0" w:noVBand="1"/>
      </w:tblPr>
      <w:tblGrid>
        <w:gridCol w:w="567"/>
        <w:gridCol w:w="5245"/>
        <w:gridCol w:w="851"/>
        <w:gridCol w:w="1134"/>
        <w:gridCol w:w="2693"/>
        <w:gridCol w:w="3584"/>
      </w:tblGrid>
      <w:tr w:rsidR="00A07EDC" w:rsidRPr="00FF4BF5" w:rsidTr="008C537C">
        <w:trPr>
          <w:trHeight w:val="804"/>
        </w:trPr>
        <w:tc>
          <w:tcPr>
            <w:tcW w:w="14074" w:type="dxa"/>
            <w:gridSpan w:val="6"/>
            <w:tcBorders>
              <w:top w:val="single" w:sz="4" w:space="0" w:color="auto"/>
              <w:left w:val="single" w:sz="4" w:space="0" w:color="auto"/>
              <w:right w:val="single" w:sz="4" w:space="0" w:color="auto"/>
            </w:tcBorders>
          </w:tcPr>
          <w:p w:rsidR="00A07EDC" w:rsidRPr="00FF4BF5" w:rsidRDefault="00A07EDC" w:rsidP="008C537C">
            <w:pPr>
              <w:rPr>
                <w:rFonts w:ascii="Century Gothic" w:hAnsi="Century Gothic" w:cs="Calibri"/>
                <w:b/>
                <w:sz w:val="20"/>
                <w:szCs w:val="20"/>
                <w:lang w:eastAsia="pl-PL"/>
              </w:rPr>
            </w:pPr>
            <w:r w:rsidRPr="00FF4BF5">
              <w:rPr>
                <w:rFonts w:ascii="Century Gothic" w:hAnsi="Century Gothic" w:cs="Calibri"/>
                <w:lang w:eastAsia="pl-PL"/>
              </w:rPr>
              <w:t> </w:t>
            </w:r>
            <w:r w:rsidRPr="00FF4BF5">
              <w:rPr>
                <w:rFonts w:ascii="Century Gothic" w:hAnsi="Century Gothic" w:cs="Calibri"/>
                <w:b/>
                <w:sz w:val="20"/>
                <w:szCs w:val="20"/>
                <w:lang w:eastAsia="pl-PL"/>
              </w:rPr>
              <w:t>ZAMÓWIENIE OPCJONALNE:</w:t>
            </w:r>
          </w:p>
          <w:p w:rsidR="00A07EDC" w:rsidRPr="00DB32A3" w:rsidRDefault="00A07EDC" w:rsidP="008C537C">
            <w:pPr>
              <w:rPr>
                <w:rFonts w:ascii="Century Gothic" w:hAnsi="Century Gothic" w:cs="Calibri"/>
                <w:sz w:val="20"/>
                <w:szCs w:val="20"/>
                <w:lang w:eastAsia="pl-PL"/>
              </w:rPr>
            </w:pPr>
            <w:r w:rsidRPr="00FF4BF5">
              <w:rPr>
                <w:rFonts w:ascii="Century Gothic" w:hAnsi="Century Gothic" w:cs="Calibri"/>
                <w:lang w:eastAsia="pl-PL"/>
              </w:rPr>
              <w:t> </w:t>
            </w:r>
            <w:r w:rsidRPr="00DB32A3">
              <w:rPr>
                <w:rFonts w:ascii="Century Gothic" w:hAnsi="Century Gothic" w:cs="Calibri"/>
                <w:b/>
                <w:sz w:val="20"/>
                <w:szCs w:val="20"/>
                <w:lang w:eastAsia="pl-PL"/>
              </w:rPr>
              <w:t xml:space="preserve">dostawa sprzętu do magazynu Wykonawcy oraz </w:t>
            </w:r>
            <w:r>
              <w:rPr>
                <w:rFonts w:ascii="Century Gothic" w:hAnsi="Century Gothic" w:cs="Calibri"/>
                <w:b/>
                <w:sz w:val="20"/>
                <w:szCs w:val="20"/>
                <w:lang w:eastAsia="pl-PL"/>
              </w:rPr>
              <w:t>przechowywanie</w:t>
            </w:r>
            <w:r w:rsidRPr="00DB32A3">
              <w:rPr>
                <w:rFonts w:ascii="Century Gothic" w:hAnsi="Century Gothic" w:cs="Calibri"/>
                <w:b/>
                <w:sz w:val="20"/>
                <w:szCs w:val="20"/>
                <w:lang w:eastAsia="pl-PL"/>
              </w:rPr>
              <w:t xml:space="preserve"> sprzętu w magazynie Wykonawcy nie dłużej niż do 30.11.2019 r.</w:t>
            </w:r>
          </w:p>
        </w:tc>
      </w:tr>
      <w:tr w:rsidR="00A07EDC" w:rsidRPr="00FF4BF5" w:rsidTr="008C537C">
        <w:trPr>
          <w:trHeight w:val="951"/>
        </w:trPr>
        <w:tc>
          <w:tcPr>
            <w:tcW w:w="567" w:type="dxa"/>
            <w:tcBorders>
              <w:top w:val="single" w:sz="4" w:space="0" w:color="auto"/>
              <w:left w:val="single" w:sz="4" w:space="0" w:color="auto"/>
              <w:bottom w:val="single" w:sz="4" w:space="0" w:color="auto"/>
              <w:right w:val="nil"/>
            </w:tcBorders>
            <w:vAlign w:val="center"/>
          </w:tcPr>
          <w:p w:rsidR="00A07EDC" w:rsidRPr="001D57E8" w:rsidRDefault="00A07EDC" w:rsidP="008C537C">
            <w:pPr>
              <w:rPr>
                <w:rFonts w:ascii="Century Gothic" w:hAnsi="Century Gothic"/>
                <w:sz w:val="20"/>
                <w:szCs w:val="20"/>
              </w:rPr>
            </w:pPr>
            <w:r>
              <w:rPr>
                <w:rFonts w:ascii="Century Gothic" w:hAnsi="Century Gothic"/>
                <w:sz w:val="20"/>
                <w:szCs w:val="20"/>
              </w:rPr>
              <w:t>Lp.</w:t>
            </w:r>
          </w:p>
        </w:tc>
        <w:tc>
          <w:tcPr>
            <w:tcW w:w="5245" w:type="dxa"/>
            <w:tcBorders>
              <w:top w:val="single" w:sz="4" w:space="0" w:color="auto"/>
              <w:left w:val="single" w:sz="4" w:space="0" w:color="auto"/>
              <w:bottom w:val="single" w:sz="4" w:space="0" w:color="auto"/>
              <w:right w:val="nil"/>
            </w:tcBorders>
            <w:shd w:val="clear" w:color="auto" w:fill="auto"/>
            <w:noWrap/>
            <w:vAlign w:val="center"/>
            <w:hideMark/>
          </w:tcPr>
          <w:p w:rsidR="00A07EDC" w:rsidRPr="001D57E8" w:rsidRDefault="00A07EDC" w:rsidP="008C537C">
            <w:pPr>
              <w:rPr>
                <w:rFonts w:ascii="Century Gothic" w:hAnsi="Century Gothic" w:cs="Calibri"/>
                <w:sz w:val="20"/>
                <w:szCs w:val="20"/>
                <w:lang w:eastAsia="pl-PL"/>
              </w:rPr>
            </w:pPr>
            <w:r w:rsidRPr="001D57E8">
              <w:rPr>
                <w:rFonts w:ascii="Century Gothic" w:hAnsi="Century Gothic"/>
                <w:sz w:val="20"/>
                <w:szCs w:val="20"/>
              </w:rPr>
              <w:t>Przedmiot</w:t>
            </w:r>
          </w:p>
        </w:tc>
        <w:tc>
          <w:tcPr>
            <w:tcW w:w="851" w:type="dxa"/>
            <w:tcBorders>
              <w:top w:val="single" w:sz="4" w:space="0" w:color="auto"/>
              <w:left w:val="single" w:sz="4" w:space="0" w:color="auto"/>
              <w:bottom w:val="single" w:sz="4" w:space="0" w:color="auto"/>
              <w:right w:val="single" w:sz="4" w:space="0" w:color="auto"/>
            </w:tcBorders>
            <w:vAlign w:val="center"/>
          </w:tcPr>
          <w:p w:rsidR="00A07EDC" w:rsidRPr="001D57E8" w:rsidRDefault="00A07EDC" w:rsidP="008C537C">
            <w:pPr>
              <w:jc w:val="center"/>
              <w:rPr>
                <w:rFonts w:ascii="Century Gothic" w:hAnsi="Century Gothic" w:cs="Calibri"/>
                <w:sz w:val="20"/>
                <w:szCs w:val="20"/>
                <w:lang w:eastAsia="pl-PL"/>
              </w:rPr>
            </w:pPr>
            <w:r w:rsidRPr="001D57E8">
              <w:rPr>
                <w:rFonts w:ascii="Century Gothic" w:hAnsi="Century Gothic"/>
                <w:sz w:val="20"/>
                <w:szCs w:val="20"/>
              </w:rPr>
              <w:t>Liczba sztuk</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EDC" w:rsidRPr="001D57E8" w:rsidRDefault="00A07EDC" w:rsidP="008C537C">
            <w:pPr>
              <w:jc w:val="center"/>
              <w:rPr>
                <w:rFonts w:ascii="Century Gothic" w:hAnsi="Century Gothic" w:cs="Calibri"/>
                <w:sz w:val="20"/>
                <w:szCs w:val="20"/>
                <w:lang w:eastAsia="pl-PL"/>
              </w:rPr>
            </w:pPr>
            <w:r w:rsidRPr="001D57E8">
              <w:rPr>
                <w:rFonts w:ascii="Century Gothic" w:hAnsi="Century Gothic"/>
                <w:sz w:val="20"/>
                <w:szCs w:val="20"/>
              </w:rPr>
              <w:t>Liczba miesięcy</w:t>
            </w:r>
          </w:p>
        </w:tc>
        <w:tc>
          <w:tcPr>
            <w:tcW w:w="2693" w:type="dxa"/>
            <w:tcBorders>
              <w:top w:val="single" w:sz="4" w:space="0" w:color="auto"/>
              <w:left w:val="nil"/>
              <w:bottom w:val="single" w:sz="4" w:space="0" w:color="auto"/>
              <w:right w:val="single" w:sz="4" w:space="0" w:color="auto"/>
            </w:tcBorders>
            <w:shd w:val="clear" w:color="auto" w:fill="auto"/>
            <w:vAlign w:val="center"/>
            <w:hideMark/>
          </w:tcPr>
          <w:p w:rsidR="00A07EDC" w:rsidRPr="001D57E8" w:rsidRDefault="00A07EDC" w:rsidP="008C537C">
            <w:pPr>
              <w:jc w:val="center"/>
              <w:rPr>
                <w:rFonts w:ascii="Century Gothic" w:hAnsi="Century Gothic" w:cs="Calibri"/>
                <w:sz w:val="20"/>
                <w:szCs w:val="20"/>
                <w:lang w:eastAsia="pl-PL"/>
              </w:rPr>
            </w:pPr>
            <w:r w:rsidRPr="001D57E8">
              <w:rPr>
                <w:rFonts w:ascii="Century Gothic" w:hAnsi="Century Gothic"/>
                <w:sz w:val="20"/>
                <w:szCs w:val="20"/>
              </w:rPr>
              <w:t xml:space="preserve">Cena brutto miesięcznego </w:t>
            </w:r>
            <w:r>
              <w:rPr>
                <w:rFonts w:ascii="Century Gothic" w:hAnsi="Century Gothic"/>
                <w:sz w:val="20"/>
                <w:szCs w:val="20"/>
              </w:rPr>
              <w:t>przechowywania</w:t>
            </w:r>
            <w:r w:rsidRPr="001D57E8">
              <w:rPr>
                <w:rFonts w:ascii="Century Gothic" w:hAnsi="Century Gothic"/>
                <w:sz w:val="20"/>
                <w:szCs w:val="20"/>
              </w:rPr>
              <w:t xml:space="preserve"> 1 sztuki sprzętu (w zł)</w:t>
            </w:r>
          </w:p>
        </w:tc>
        <w:tc>
          <w:tcPr>
            <w:tcW w:w="3584" w:type="dxa"/>
            <w:tcBorders>
              <w:top w:val="single" w:sz="4" w:space="0" w:color="auto"/>
              <w:left w:val="nil"/>
              <w:bottom w:val="single" w:sz="4" w:space="0" w:color="auto"/>
              <w:right w:val="single" w:sz="4" w:space="0" w:color="auto"/>
            </w:tcBorders>
            <w:shd w:val="clear" w:color="auto" w:fill="auto"/>
            <w:vAlign w:val="center"/>
            <w:hideMark/>
          </w:tcPr>
          <w:p w:rsidR="00A07EDC" w:rsidRPr="001D57E8" w:rsidRDefault="00A07EDC" w:rsidP="008C537C">
            <w:pPr>
              <w:jc w:val="center"/>
              <w:rPr>
                <w:rFonts w:ascii="Century Gothic" w:hAnsi="Century Gothic" w:cs="Calibri"/>
                <w:sz w:val="20"/>
                <w:szCs w:val="20"/>
                <w:lang w:eastAsia="pl-PL"/>
              </w:rPr>
            </w:pPr>
            <w:r>
              <w:rPr>
                <w:rFonts w:ascii="Century Gothic" w:hAnsi="Century Gothic"/>
                <w:sz w:val="20"/>
                <w:szCs w:val="20"/>
              </w:rPr>
              <w:t>C</w:t>
            </w:r>
            <w:r w:rsidRPr="001D57E8">
              <w:rPr>
                <w:rFonts w:ascii="Century Gothic" w:hAnsi="Century Gothic"/>
                <w:sz w:val="20"/>
                <w:szCs w:val="20"/>
              </w:rPr>
              <w:t xml:space="preserve">ena brutto </w:t>
            </w:r>
            <w:r>
              <w:rPr>
                <w:rFonts w:ascii="Century Gothic" w:hAnsi="Century Gothic"/>
                <w:sz w:val="20"/>
                <w:szCs w:val="20"/>
              </w:rPr>
              <w:t>przechowywania</w:t>
            </w:r>
            <w:r w:rsidRPr="001D57E8">
              <w:rPr>
                <w:rFonts w:ascii="Century Gothic" w:hAnsi="Century Gothic"/>
                <w:sz w:val="20"/>
                <w:szCs w:val="20"/>
              </w:rPr>
              <w:t xml:space="preserve"> łącznej liczby sztuk sprzętu przez zakładaną łączną liczbę miesięcy</w:t>
            </w:r>
            <w:r>
              <w:rPr>
                <w:rFonts w:ascii="Century Gothic" w:hAnsi="Century Gothic"/>
                <w:sz w:val="20"/>
                <w:szCs w:val="20"/>
              </w:rPr>
              <w:t xml:space="preserve"> w pozycjach</w:t>
            </w:r>
            <w:r w:rsidRPr="001D57E8">
              <w:rPr>
                <w:rFonts w:ascii="Century Gothic" w:hAnsi="Century Gothic"/>
                <w:sz w:val="20"/>
                <w:szCs w:val="20"/>
              </w:rPr>
              <w:t xml:space="preserve"> (w zł):</w:t>
            </w:r>
          </w:p>
        </w:tc>
      </w:tr>
      <w:tr w:rsidR="00CF14B1" w:rsidRPr="00FF4BF5" w:rsidTr="00CF14B1">
        <w:trPr>
          <w:trHeight w:val="624"/>
        </w:trPr>
        <w:tc>
          <w:tcPr>
            <w:tcW w:w="14074" w:type="dxa"/>
            <w:gridSpan w:val="6"/>
            <w:tcBorders>
              <w:top w:val="single" w:sz="4" w:space="0" w:color="auto"/>
              <w:left w:val="single" w:sz="4" w:space="0" w:color="auto"/>
              <w:bottom w:val="single" w:sz="4" w:space="0" w:color="auto"/>
              <w:right w:val="single" w:sz="4" w:space="0" w:color="auto"/>
            </w:tcBorders>
            <w:vAlign w:val="center"/>
          </w:tcPr>
          <w:p w:rsidR="00CF14B1" w:rsidRPr="00FF4BF5" w:rsidRDefault="00CF14B1" w:rsidP="00CF14B1">
            <w:pPr>
              <w:rPr>
                <w:rFonts w:ascii="Century Gothic" w:hAnsi="Century Gothic" w:cs="Calibri"/>
                <w:sz w:val="20"/>
                <w:szCs w:val="20"/>
                <w:lang w:eastAsia="pl-PL"/>
              </w:rPr>
            </w:pPr>
            <w:r w:rsidRPr="00665F92">
              <w:rPr>
                <w:rFonts w:ascii="Century Gothic" w:hAnsi="Century Gothic"/>
                <w:sz w:val="20"/>
              </w:rPr>
              <w:t>Infuzja OIOM</w:t>
            </w:r>
            <w:r>
              <w:rPr>
                <w:rFonts w:ascii="Century Gothic" w:hAnsi="Century Gothic"/>
                <w:sz w:val="20"/>
              </w:rPr>
              <w:t>:</w:t>
            </w: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Pr="001D57E8" w:rsidRDefault="00CF14B1" w:rsidP="008C537C">
            <w:pPr>
              <w:rPr>
                <w:rFonts w:ascii="Century Gothic" w:hAnsi="Century Gothic" w:cs="Calibri"/>
                <w:sz w:val="20"/>
                <w:szCs w:val="20"/>
                <w:lang w:eastAsia="pl-PL"/>
              </w:rPr>
            </w:pPr>
            <w:r>
              <w:rPr>
                <w:rFonts w:ascii="Century Gothic" w:hAnsi="Century Gothic" w:cs="Calibri"/>
                <w:sz w:val="20"/>
                <w:szCs w:val="20"/>
                <w:lang w:eastAsia="pl-PL"/>
              </w:rPr>
              <w:t>1.</w:t>
            </w:r>
          </w:p>
        </w:tc>
        <w:tc>
          <w:tcPr>
            <w:tcW w:w="5245" w:type="dxa"/>
            <w:tcBorders>
              <w:top w:val="single" w:sz="4" w:space="0" w:color="auto"/>
              <w:left w:val="single" w:sz="4" w:space="0" w:color="auto"/>
              <w:bottom w:val="single" w:sz="4" w:space="0" w:color="auto"/>
              <w:right w:val="nil"/>
            </w:tcBorders>
            <w:shd w:val="clear" w:color="auto" w:fill="auto"/>
            <w:noWrap/>
            <w:vAlign w:val="center"/>
            <w:hideMark/>
          </w:tcPr>
          <w:p w:rsidR="00CF14B1" w:rsidRPr="00FF4BF5" w:rsidRDefault="00CF14B1" w:rsidP="008C537C">
            <w:pPr>
              <w:rPr>
                <w:rFonts w:ascii="Century Gothic" w:hAnsi="Century Gothic" w:cs="Calibri"/>
                <w:sz w:val="20"/>
                <w:szCs w:val="20"/>
                <w:lang w:eastAsia="pl-PL"/>
              </w:rPr>
            </w:pPr>
            <w:r w:rsidRPr="00665F92">
              <w:rPr>
                <w:rFonts w:ascii="Century Gothic" w:hAnsi="Century Gothic"/>
                <w:sz w:val="20"/>
                <w:szCs w:val="20"/>
              </w:rPr>
              <w:t>Pompy strzykawkowe (biblioteka leków)</w:t>
            </w:r>
          </w:p>
        </w:tc>
        <w:tc>
          <w:tcPr>
            <w:tcW w:w="851" w:type="dxa"/>
            <w:tcBorders>
              <w:top w:val="nil"/>
              <w:left w:val="single" w:sz="4" w:space="0" w:color="auto"/>
              <w:bottom w:val="single" w:sz="4" w:space="0" w:color="auto"/>
              <w:right w:val="single" w:sz="4" w:space="0" w:color="auto"/>
            </w:tcBorders>
            <w:vAlign w:val="center"/>
          </w:tcPr>
          <w:p w:rsidR="00CF14B1" w:rsidRPr="00FF4BF5" w:rsidRDefault="00CF14B1" w:rsidP="008C537C">
            <w:pPr>
              <w:jc w:val="center"/>
              <w:rPr>
                <w:rFonts w:ascii="Century Gothic" w:hAnsi="Century Gothic" w:cs="Calibri"/>
                <w:sz w:val="20"/>
                <w:szCs w:val="20"/>
                <w:lang w:eastAsia="pl-PL"/>
              </w:rPr>
            </w:pPr>
            <w:r w:rsidRPr="00665F92">
              <w:rPr>
                <w:rFonts w:ascii="Century Gothic" w:hAnsi="Century Gothic"/>
                <w:sz w:val="20"/>
                <w:szCs w:val="20"/>
              </w:rPr>
              <w:t>574</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CF14B1" w:rsidRPr="00FF4BF5" w:rsidRDefault="00CF14B1" w:rsidP="008C537C">
            <w:pPr>
              <w:jc w:val="center"/>
              <w:rPr>
                <w:rFonts w:ascii="Century Gothic" w:hAnsi="Century Gothic" w:cs="Calibri"/>
                <w:sz w:val="20"/>
                <w:szCs w:val="20"/>
                <w:lang w:eastAsia="pl-PL"/>
              </w:rPr>
            </w:pPr>
            <w:r>
              <w:rPr>
                <w:rFonts w:ascii="Century Gothic" w:hAnsi="Century Gothic" w:cs="Calibri"/>
                <w:sz w:val="20"/>
                <w:szCs w:val="20"/>
                <w:lang w:eastAsia="pl-PL"/>
              </w:rPr>
              <w:t>14</w:t>
            </w:r>
          </w:p>
        </w:tc>
        <w:tc>
          <w:tcPr>
            <w:tcW w:w="2693" w:type="dxa"/>
            <w:tcBorders>
              <w:top w:val="nil"/>
              <w:left w:val="nil"/>
              <w:bottom w:val="single" w:sz="4" w:space="0" w:color="auto"/>
              <w:right w:val="single" w:sz="4" w:space="0" w:color="auto"/>
            </w:tcBorders>
            <w:shd w:val="clear" w:color="auto" w:fill="auto"/>
            <w:vAlign w:val="center"/>
            <w:hideMark/>
          </w:tcPr>
          <w:p w:rsidR="00CF14B1" w:rsidRPr="00FF4BF5" w:rsidRDefault="00CF14B1" w:rsidP="008C537C">
            <w:pPr>
              <w:jc w:val="center"/>
              <w:rPr>
                <w:rFonts w:ascii="Century Gothic" w:hAnsi="Century Gothic" w:cs="Calibri"/>
                <w:sz w:val="20"/>
                <w:szCs w:val="20"/>
                <w:lang w:eastAsia="pl-PL"/>
              </w:rPr>
            </w:pPr>
          </w:p>
        </w:tc>
        <w:tc>
          <w:tcPr>
            <w:tcW w:w="3584" w:type="dxa"/>
            <w:tcBorders>
              <w:top w:val="nil"/>
              <w:left w:val="nil"/>
              <w:bottom w:val="single" w:sz="4" w:space="0" w:color="auto"/>
              <w:right w:val="single" w:sz="4" w:space="0" w:color="auto"/>
            </w:tcBorders>
            <w:shd w:val="clear" w:color="auto" w:fill="auto"/>
            <w:vAlign w:val="center"/>
            <w:hideMark/>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2.</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sidRPr="00665F92">
              <w:rPr>
                <w:rFonts w:ascii="Century Gothic" w:hAnsi="Century Gothic"/>
                <w:sz w:val="20"/>
                <w:szCs w:val="20"/>
              </w:rPr>
              <w:t>Pompy strzykawkowe (biblioteka leków, pomiar w linii)</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65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lastRenderedPageBreak/>
              <w:t>3.</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Pr>
                <w:rFonts w:ascii="Century Gothic" w:hAnsi="Century Gothic"/>
                <w:sz w:val="20"/>
                <w:szCs w:val="20"/>
              </w:rPr>
              <w:t xml:space="preserve">Pompy objętościowe </w:t>
            </w:r>
            <w:r w:rsidRPr="00665F92">
              <w:rPr>
                <w:rFonts w:ascii="Century Gothic" w:hAnsi="Century Gothic"/>
                <w:sz w:val="20"/>
                <w:szCs w:val="20"/>
              </w:rPr>
              <w:t>(biblioteka leków)</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261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4.</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Pr>
                <w:rFonts w:ascii="Century Gothic" w:hAnsi="Century Gothic"/>
                <w:sz w:val="20"/>
                <w:szCs w:val="20"/>
              </w:rPr>
              <w:t>S</w:t>
            </w:r>
            <w:r w:rsidRPr="00665F92">
              <w:rPr>
                <w:rFonts w:ascii="Century Gothic" w:hAnsi="Century Gothic"/>
                <w:sz w:val="20"/>
                <w:szCs w:val="20"/>
              </w:rPr>
              <w:t>tacja dokująca 4 COM</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155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5.</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45526A" w:rsidRDefault="00CF14B1" w:rsidP="008C537C">
            <w:pPr>
              <w:rPr>
                <w:rFonts w:ascii="Century Gothic" w:hAnsi="Century Gothic"/>
                <w:sz w:val="20"/>
                <w:highlight w:val="yellow"/>
              </w:rPr>
            </w:pPr>
            <w:r w:rsidRPr="0045526A">
              <w:rPr>
                <w:rFonts w:ascii="Century Gothic" w:hAnsi="Century Gothic"/>
                <w:sz w:val="20"/>
                <w:szCs w:val="20"/>
                <w:highlight w:val="yellow"/>
              </w:rPr>
              <w:t>Stacja dokująca 6 lub 8 COM</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Pr="0045526A" w:rsidRDefault="0045526A" w:rsidP="008C537C">
            <w:pPr>
              <w:jc w:val="center"/>
              <w:rPr>
                <w:rFonts w:ascii="Century Gothic" w:hAnsi="Century Gothic" w:cs="Calibri"/>
                <w:bCs/>
                <w:sz w:val="20"/>
                <w:szCs w:val="20"/>
                <w:highlight w:val="yellow"/>
                <w:lang w:eastAsia="pl-PL"/>
              </w:rPr>
            </w:pPr>
            <w:r w:rsidRPr="0045526A">
              <w:rPr>
                <w:rFonts w:ascii="Century Gothic" w:hAnsi="Century Gothic"/>
                <w:sz w:val="20"/>
                <w:szCs w:val="20"/>
                <w:highlight w:val="yellow"/>
              </w:rPr>
              <w:t>56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6.</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Pr>
                <w:rFonts w:ascii="Century Gothic" w:hAnsi="Century Gothic"/>
                <w:sz w:val="20"/>
                <w:szCs w:val="20"/>
              </w:rPr>
              <w:t>O</w:t>
            </w:r>
            <w:r w:rsidRPr="00665F92">
              <w:rPr>
                <w:rFonts w:ascii="Century Gothic" w:hAnsi="Century Gothic"/>
                <w:sz w:val="20"/>
                <w:szCs w:val="20"/>
              </w:rPr>
              <w:t>programowanie do zarządzania infuzją</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7.</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Pr>
                <w:rFonts w:ascii="Century Gothic" w:hAnsi="Century Gothic"/>
                <w:sz w:val="20"/>
                <w:szCs w:val="20"/>
              </w:rPr>
              <w:t>T</w:t>
            </w:r>
            <w:r w:rsidRPr="00665F92">
              <w:rPr>
                <w:rFonts w:ascii="Century Gothic" w:hAnsi="Century Gothic"/>
                <w:sz w:val="20"/>
                <w:szCs w:val="20"/>
              </w:rPr>
              <w:t xml:space="preserve">ester do pomp </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8.</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sidRPr="00665F92">
              <w:rPr>
                <w:rFonts w:ascii="Century Gothic" w:hAnsi="Century Gothic"/>
                <w:sz w:val="20"/>
                <w:szCs w:val="20"/>
              </w:rPr>
              <w:t xml:space="preserve">Zasilacz UPS  </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9.</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sidRPr="00665F92">
              <w:rPr>
                <w:rFonts w:ascii="Century Gothic" w:hAnsi="Century Gothic"/>
                <w:sz w:val="20"/>
                <w:szCs w:val="20"/>
              </w:rPr>
              <w:t>Tester bezpieczeństwa elektrycznego</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10</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sidRPr="00665F92">
              <w:rPr>
                <w:rFonts w:ascii="Century Gothic" w:hAnsi="Century Gothic"/>
                <w:sz w:val="20"/>
                <w:szCs w:val="20"/>
              </w:rPr>
              <w:t>Stacja do pracy pomp w środowisku MRI</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11.</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sidRPr="00665F92">
              <w:rPr>
                <w:rFonts w:ascii="Century Gothic" w:hAnsi="Century Gothic"/>
                <w:sz w:val="20"/>
                <w:szCs w:val="20"/>
              </w:rPr>
              <w:t>Pompy TCI-TIVA</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68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A07EDC" w:rsidRPr="00FF4BF5" w:rsidTr="008C537C">
        <w:trPr>
          <w:trHeight w:val="1141"/>
        </w:trPr>
        <w:tc>
          <w:tcPr>
            <w:tcW w:w="567" w:type="dxa"/>
            <w:tcBorders>
              <w:top w:val="single" w:sz="4" w:space="0" w:color="auto"/>
            </w:tcBorders>
          </w:tcPr>
          <w:p w:rsidR="00A07EDC" w:rsidRPr="00FF4BF5" w:rsidRDefault="00A07EDC" w:rsidP="008C537C">
            <w:pPr>
              <w:rPr>
                <w:rFonts w:ascii="Century Gothic" w:hAnsi="Century Gothic"/>
                <w:sz w:val="20"/>
              </w:rPr>
            </w:pPr>
          </w:p>
        </w:tc>
        <w:tc>
          <w:tcPr>
            <w:tcW w:w="5245" w:type="dxa"/>
            <w:tcBorders>
              <w:top w:val="single" w:sz="4" w:space="0" w:color="auto"/>
            </w:tcBorders>
            <w:shd w:val="clear" w:color="auto" w:fill="auto"/>
            <w:noWrap/>
            <w:vAlign w:val="center"/>
          </w:tcPr>
          <w:p w:rsidR="00A07EDC" w:rsidRPr="00FF4BF5" w:rsidRDefault="00A07EDC" w:rsidP="008C537C">
            <w:pPr>
              <w:rPr>
                <w:rFonts w:ascii="Century Gothic" w:hAnsi="Century Gothic"/>
                <w:sz w:val="20"/>
              </w:rPr>
            </w:pPr>
          </w:p>
        </w:tc>
        <w:tc>
          <w:tcPr>
            <w:tcW w:w="851" w:type="dxa"/>
            <w:tcBorders>
              <w:top w:val="single" w:sz="4" w:space="0" w:color="auto"/>
              <w:right w:val="single" w:sz="4" w:space="0" w:color="auto"/>
            </w:tcBorders>
            <w:vAlign w:val="center"/>
          </w:tcPr>
          <w:p w:rsidR="00A07EDC" w:rsidRDefault="00A07EDC" w:rsidP="008C537C">
            <w:pPr>
              <w:jc w:val="center"/>
              <w:rPr>
                <w:rFonts w:ascii="Century Gothic" w:hAnsi="Century Gothic" w:cs="Calibri"/>
                <w:bCs/>
                <w:sz w:val="20"/>
                <w:szCs w:val="20"/>
                <w:lang w:eastAsia="pl-PL"/>
              </w:rPr>
            </w:pPr>
          </w:p>
        </w:tc>
        <w:tc>
          <w:tcPr>
            <w:tcW w:w="382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A07EDC" w:rsidRPr="00FF4BF5" w:rsidRDefault="00A07EDC" w:rsidP="008C537C">
            <w:pPr>
              <w:rPr>
                <w:rFonts w:ascii="Century Gothic" w:hAnsi="Century Gothic" w:cs="Calibri"/>
                <w:sz w:val="20"/>
                <w:szCs w:val="20"/>
                <w:lang w:eastAsia="pl-PL"/>
              </w:rPr>
            </w:pPr>
            <w:r w:rsidRPr="001D57E8">
              <w:rPr>
                <w:rFonts w:ascii="Century Gothic" w:hAnsi="Century Gothic"/>
                <w:b/>
                <w:sz w:val="20"/>
                <w:szCs w:val="20"/>
              </w:rPr>
              <w:t>D:</w:t>
            </w:r>
            <w:r>
              <w:rPr>
                <w:rFonts w:ascii="Century Gothic" w:hAnsi="Century Gothic"/>
                <w:sz w:val="20"/>
                <w:szCs w:val="20"/>
              </w:rPr>
              <w:t xml:space="preserve"> Łączna c</w:t>
            </w:r>
            <w:r w:rsidRPr="001D57E8">
              <w:rPr>
                <w:rFonts w:ascii="Century Gothic" w:hAnsi="Century Gothic"/>
                <w:sz w:val="20"/>
                <w:szCs w:val="20"/>
              </w:rPr>
              <w:t xml:space="preserve">ena brutto </w:t>
            </w:r>
            <w:r>
              <w:rPr>
                <w:rFonts w:ascii="Century Gothic" w:hAnsi="Century Gothic"/>
                <w:sz w:val="20"/>
                <w:szCs w:val="20"/>
              </w:rPr>
              <w:t>przechowywania</w:t>
            </w:r>
            <w:r w:rsidRPr="001D57E8">
              <w:rPr>
                <w:rFonts w:ascii="Century Gothic" w:hAnsi="Century Gothic"/>
                <w:sz w:val="20"/>
                <w:szCs w:val="20"/>
              </w:rPr>
              <w:t xml:space="preserve"> łącznej liczby sztuk sprzętu przez zakładaną łączną liczbę miesięcy</w:t>
            </w:r>
            <w:r>
              <w:rPr>
                <w:rFonts w:ascii="Century Gothic" w:hAnsi="Century Gothic"/>
                <w:sz w:val="20"/>
                <w:szCs w:val="20"/>
              </w:rPr>
              <w:t xml:space="preserve"> w zł (suma c</w:t>
            </w:r>
            <w:r w:rsidR="00CF14B1">
              <w:rPr>
                <w:rFonts w:ascii="Century Gothic" w:hAnsi="Century Gothic"/>
                <w:sz w:val="20"/>
                <w:szCs w:val="20"/>
              </w:rPr>
              <w:t>en z poz. 1-11)</w:t>
            </w:r>
            <w:r w:rsidRPr="001D57E8">
              <w:rPr>
                <w:rFonts w:ascii="Century Gothic" w:hAnsi="Century Gothic"/>
                <w:sz w:val="20"/>
                <w:szCs w:val="20"/>
              </w:rPr>
              <w:t>:</w:t>
            </w:r>
          </w:p>
        </w:tc>
        <w:tc>
          <w:tcPr>
            <w:tcW w:w="3584" w:type="dxa"/>
            <w:tcBorders>
              <w:top w:val="single" w:sz="4" w:space="0" w:color="auto"/>
              <w:left w:val="nil"/>
              <w:bottom w:val="single" w:sz="4" w:space="0" w:color="auto"/>
              <w:right w:val="single" w:sz="4" w:space="0" w:color="auto"/>
            </w:tcBorders>
            <w:shd w:val="clear" w:color="auto" w:fill="auto"/>
            <w:vAlign w:val="center"/>
          </w:tcPr>
          <w:p w:rsidR="00A07EDC" w:rsidRPr="00FF4BF5" w:rsidRDefault="00A07EDC" w:rsidP="008C537C">
            <w:pPr>
              <w:jc w:val="center"/>
              <w:rPr>
                <w:rFonts w:ascii="Century Gothic" w:hAnsi="Century Gothic" w:cs="Calibri"/>
                <w:sz w:val="20"/>
                <w:szCs w:val="20"/>
                <w:lang w:eastAsia="pl-PL"/>
              </w:rPr>
            </w:pPr>
          </w:p>
        </w:tc>
      </w:tr>
    </w:tbl>
    <w:p w:rsidR="00A07EDC" w:rsidRDefault="00A07EDC" w:rsidP="00A07EDC">
      <w:pPr>
        <w:rPr>
          <w:rFonts w:ascii="Century Gothic" w:hAnsi="Century Gothic"/>
          <w:sz w:val="10"/>
          <w:szCs w:val="10"/>
        </w:rPr>
      </w:pPr>
    </w:p>
    <w:p w:rsidR="00A07EDC" w:rsidRDefault="00A07EDC" w:rsidP="00A07EDC">
      <w:pPr>
        <w:rPr>
          <w:rFonts w:ascii="Century Gothic" w:hAnsi="Century Gothic"/>
          <w:sz w:val="10"/>
          <w:szCs w:val="10"/>
        </w:rPr>
      </w:pPr>
    </w:p>
    <w:p w:rsidR="00A07EDC" w:rsidRPr="00FF4BF5" w:rsidRDefault="00A07EDC" w:rsidP="00A07EDC">
      <w:pPr>
        <w:rPr>
          <w:rFonts w:ascii="Century Gothic" w:hAnsi="Century Gothic"/>
          <w:sz w:val="10"/>
          <w:szCs w:val="10"/>
        </w:rPr>
      </w:pPr>
    </w:p>
    <w:tbl>
      <w:tblPr>
        <w:tblW w:w="3724" w:type="pct"/>
        <w:tblInd w:w="3412" w:type="dxa"/>
        <w:tblCellMar>
          <w:left w:w="10" w:type="dxa"/>
          <w:right w:w="10" w:type="dxa"/>
        </w:tblCellMar>
        <w:tblLook w:val="04A0" w:firstRow="1" w:lastRow="0" w:firstColumn="1" w:lastColumn="0" w:noHBand="0" w:noVBand="1"/>
      </w:tblPr>
      <w:tblGrid>
        <w:gridCol w:w="4267"/>
        <w:gridCol w:w="6223"/>
      </w:tblGrid>
      <w:tr w:rsidR="00A07EDC" w:rsidRPr="00FF4BF5" w:rsidTr="008C537C">
        <w:trPr>
          <w:trHeight w:val="527"/>
        </w:trPr>
        <w:tc>
          <w:tcPr>
            <w:tcW w:w="2034" w:type="pct"/>
            <w:tcBorders>
              <w:top w:val="single" w:sz="4" w:space="0" w:color="auto"/>
              <w:left w:val="single" w:sz="4" w:space="0" w:color="auto"/>
              <w:bottom w:val="single" w:sz="4" w:space="0" w:color="auto"/>
              <w:right w:val="single" w:sz="4" w:space="0" w:color="auto"/>
            </w:tcBorders>
            <w:vAlign w:val="center"/>
          </w:tcPr>
          <w:p w:rsidR="00A07EDC" w:rsidRPr="00FF4BF5" w:rsidRDefault="00A07EDC" w:rsidP="008C537C">
            <w:pPr>
              <w:pStyle w:val="Skrconyadreszwrotny"/>
              <w:snapToGrid w:val="0"/>
              <w:rPr>
                <w:rFonts w:ascii="Century Gothic" w:hAnsi="Century Gothic"/>
                <w:bCs/>
                <w:sz w:val="20"/>
              </w:rPr>
            </w:pPr>
            <w:r w:rsidRPr="00FF4BF5">
              <w:rPr>
                <w:rFonts w:ascii="Century Gothic" w:hAnsi="Century Gothic"/>
                <w:bCs/>
                <w:sz w:val="20"/>
              </w:rPr>
              <w:t xml:space="preserve">A+ B + C + D: </w:t>
            </w:r>
            <w:r w:rsidRPr="00FF4BF5">
              <w:rPr>
                <w:rFonts w:ascii="Century Gothic" w:hAnsi="Century Gothic"/>
                <w:b/>
                <w:bCs/>
                <w:sz w:val="20"/>
              </w:rPr>
              <w:t xml:space="preserve">Cena brutto oferty </w:t>
            </w:r>
            <w:r w:rsidRPr="00FF4BF5">
              <w:rPr>
                <w:rFonts w:ascii="Century Gothic" w:hAnsi="Century Gothic" w:cs="Calibri"/>
                <w:sz w:val="20"/>
              </w:rPr>
              <w:t>(w zł)</w:t>
            </w:r>
          </w:p>
        </w:tc>
        <w:tc>
          <w:tcPr>
            <w:tcW w:w="2966"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A07EDC" w:rsidRPr="00FF4BF5" w:rsidRDefault="00A07EDC" w:rsidP="008C537C">
            <w:pPr>
              <w:pStyle w:val="Skrconyadreszwrotny"/>
              <w:snapToGrid w:val="0"/>
              <w:jc w:val="center"/>
              <w:rPr>
                <w:rFonts w:ascii="Century Gothic" w:hAnsi="Century Gothic"/>
                <w:bCs/>
                <w:sz w:val="20"/>
              </w:rPr>
            </w:pPr>
          </w:p>
        </w:tc>
      </w:tr>
    </w:tbl>
    <w:p w:rsidR="00A07EDC" w:rsidRDefault="00A07EDC" w:rsidP="00093EFD">
      <w:pPr>
        <w:spacing w:line="288" w:lineRule="auto"/>
        <w:rPr>
          <w:rFonts w:ascii="Century Gothic" w:hAnsi="Century Gothic"/>
          <w:b/>
          <w:sz w:val="22"/>
          <w:szCs w:val="22"/>
        </w:rPr>
      </w:pPr>
    </w:p>
    <w:p w:rsidR="0097030B" w:rsidRPr="00FF4BF5" w:rsidRDefault="0074558B" w:rsidP="00717953">
      <w:pPr>
        <w:suppressAutoHyphens w:val="0"/>
        <w:spacing w:after="200" w:line="276" w:lineRule="auto"/>
        <w:rPr>
          <w:rFonts w:ascii="Century Gothic" w:hAnsi="Century Gothic"/>
          <w:b/>
          <w:sz w:val="22"/>
          <w:szCs w:val="22"/>
        </w:rPr>
      </w:pPr>
      <w:r>
        <w:rPr>
          <w:rFonts w:ascii="Century Gothic" w:hAnsi="Century Gothic"/>
          <w:sz w:val="20"/>
        </w:rPr>
        <w:br w:type="page"/>
      </w:r>
      <w:r w:rsidR="0097030B" w:rsidRPr="00FF4BF5">
        <w:rPr>
          <w:rFonts w:ascii="Century Gothic" w:hAnsi="Century Gothic"/>
          <w:b/>
          <w:sz w:val="22"/>
          <w:szCs w:val="22"/>
        </w:rPr>
        <w:lastRenderedPageBreak/>
        <w:t xml:space="preserve">PARAMETRY TECHNICZNE I EKSPLOATACYJNE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5387"/>
        <w:gridCol w:w="1559"/>
        <w:gridCol w:w="4534"/>
        <w:gridCol w:w="2412"/>
      </w:tblGrid>
      <w:tr w:rsidR="00FF4BF5" w:rsidRPr="00915CAA" w:rsidTr="00915CAA">
        <w:tc>
          <w:tcPr>
            <w:tcW w:w="675" w:type="dxa"/>
            <w:tcBorders>
              <w:top w:val="single" w:sz="4" w:space="0" w:color="auto"/>
              <w:left w:val="single" w:sz="4" w:space="0" w:color="auto"/>
              <w:bottom w:val="single" w:sz="4" w:space="0" w:color="auto"/>
              <w:right w:val="single" w:sz="4" w:space="0" w:color="auto"/>
            </w:tcBorders>
            <w:vAlign w:val="center"/>
            <w:hideMark/>
          </w:tcPr>
          <w:p w:rsidR="00FE51A0" w:rsidRPr="00915CAA" w:rsidRDefault="00915CAA" w:rsidP="00915CAA">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15CAA">
              <w:rPr>
                <w:rFonts w:ascii="Century Gothic" w:hAnsi="Century Gothic"/>
                <w:b/>
                <w:bCs/>
                <w:sz w:val="20"/>
                <w:szCs w:val="20"/>
              </w:rPr>
              <w:t>LP</w:t>
            </w:r>
          </w:p>
        </w:tc>
        <w:tc>
          <w:tcPr>
            <w:tcW w:w="5387" w:type="dxa"/>
            <w:tcBorders>
              <w:top w:val="single" w:sz="4" w:space="0" w:color="auto"/>
              <w:left w:val="single" w:sz="4" w:space="0" w:color="auto"/>
              <w:bottom w:val="single" w:sz="4" w:space="0" w:color="auto"/>
              <w:right w:val="single" w:sz="4" w:space="0" w:color="auto"/>
            </w:tcBorders>
            <w:vAlign w:val="center"/>
            <w:hideMark/>
          </w:tcPr>
          <w:p w:rsidR="00FE51A0" w:rsidRPr="00915CAA" w:rsidRDefault="00915CAA" w:rsidP="00915CAA">
            <w:pPr>
              <w:pStyle w:val="Nagwek3"/>
              <w:snapToGrid w:val="0"/>
              <w:spacing w:line="276" w:lineRule="auto"/>
              <w:ind w:left="0" w:firstLine="0"/>
              <w:jc w:val="center"/>
              <w:rPr>
                <w:rFonts w:ascii="Century Gothic" w:hAnsi="Century Gothic"/>
                <w:sz w:val="20"/>
                <w:szCs w:val="20"/>
                <w:lang w:eastAsia="en-US"/>
              </w:rPr>
            </w:pPr>
            <w:r w:rsidRPr="00915CAA">
              <w:rPr>
                <w:rFonts w:ascii="Century Gothic" w:hAnsi="Century Gothic"/>
                <w:sz w:val="20"/>
                <w:szCs w:val="20"/>
                <w:lang w:eastAsia="en-US"/>
              </w:rPr>
              <w:t>PARAMETR</w:t>
            </w:r>
          </w:p>
        </w:tc>
        <w:tc>
          <w:tcPr>
            <w:tcW w:w="1559" w:type="dxa"/>
            <w:tcBorders>
              <w:top w:val="single" w:sz="4" w:space="0" w:color="auto"/>
              <w:left w:val="single" w:sz="4" w:space="0" w:color="auto"/>
              <w:bottom w:val="single" w:sz="4" w:space="0" w:color="auto"/>
              <w:right w:val="single" w:sz="4" w:space="0" w:color="auto"/>
            </w:tcBorders>
            <w:vAlign w:val="center"/>
            <w:hideMark/>
          </w:tcPr>
          <w:p w:rsidR="00FE51A0" w:rsidRPr="00915CAA" w:rsidRDefault="00915CAA" w:rsidP="00915CAA">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15CAA">
              <w:rPr>
                <w:rFonts w:ascii="Century Gothic" w:hAnsi="Century Gothic"/>
                <w:b/>
                <w:bCs/>
                <w:sz w:val="20"/>
                <w:szCs w:val="20"/>
              </w:rPr>
              <w:t>PARAMETR WYMAGANY</w:t>
            </w:r>
          </w:p>
        </w:tc>
        <w:tc>
          <w:tcPr>
            <w:tcW w:w="4534" w:type="dxa"/>
            <w:tcBorders>
              <w:top w:val="single" w:sz="4" w:space="0" w:color="auto"/>
              <w:left w:val="single" w:sz="4" w:space="0" w:color="auto"/>
              <w:bottom w:val="single" w:sz="4" w:space="0" w:color="auto"/>
              <w:right w:val="single" w:sz="4" w:space="0" w:color="auto"/>
            </w:tcBorders>
            <w:vAlign w:val="center"/>
            <w:hideMark/>
          </w:tcPr>
          <w:p w:rsidR="00FE51A0" w:rsidRPr="00915CAA" w:rsidRDefault="00915CAA" w:rsidP="00915CAA">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15CAA">
              <w:rPr>
                <w:rFonts w:ascii="Century Gothic" w:hAnsi="Century Gothic"/>
                <w:b/>
                <w:bCs/>
                <w:sz w:val="20"/>
                <w:szCs w:val="20"/>
              </w:rPr>
              <w:t>PARAMETR OFEROWANY</w:t>
            </w:r>
          </w:p>
        </w:tc>
        <w:tc>
          <w:tcPr>
            <w:tcW w:w="2412" w:type="dxa"/>
            <w:tcBorders>
              <w:top w:val="single" w:sz="4" w:space="0" w:color="auto"/>
              <w:left w:val="single" w:sz="4" w:space="0" w:color="auto"/>
              <w:bottom w:val="single" w:sz="4" w:space="0" w:color="auto"/>
              <w:right w:val="single" w:sz="4" w:space="0" w:color="auto"/>
            </w:tcBorders>
            <w:vAlign w:val="center"/>
            <w:hideMark/>
          </w:tcPr>
          <w:p w:rsidR="00FE51A0" w:rsidRPr="00915CAA" w:rsidRDefault="00915CAA" w:rsidP="00915CAA">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15CAA">
              <w:rPr>
                <w:rFonts w:ascii="Century Gothic" w:hAnsi="Century Gothic"/>
                <w:b/>
                <w:bCs/>
                <w:sz w:val="20"/>
                <w:szCs w:val="20"/>
              </w:rPr>
              <w:t>SPOSÓB OCENY</w:t>
            </w:r>
          </w:p>
        </w:tc>
      </w:tr>
      <w:tr w:rsidR="00ED2776" w:rsidRPr="00915CAA" w:rsidTr="00915CAA">
        <w:tc>
          <w:tcPr>
            <w:tcW w:w="675" w:type="dxa"/>
            <w:tcBorders>
              <w:top w:val="single" w:sz="4" w:space="0" w:color="auto"/>
              <w:left w:val="single" w:sz="4" w:space="0" w:color="auto"/>
              <w:bottom w:val="single" w:sz="4" w:space="0" w:color="auto"/>
              <w:right w:val="single" w:sz="4" w:space="0" w:color="auto"/>
            </w:tcBorders>
            <w:vAlign w:val="center"/>
          </w:tcPr>
          <w:p w:rsidR="00ED2776" w:rsidRPr="00915CAA" w:rsidRDefault="00ED2776" w:rsidP="008913F8">
            <w:pPr>
              <w:pStyle w:val="Akapitzlist"/>
              <w:widowControl w:val="0"/>
              <w:numPr>
                <w:ilvl w:val="0"/>
                <w:numId w:val="17"/>
              </w:numPr>
              <w:snapToGrid w:val="0"/>
              <w:spacing w:before="100" w:beforeAutospacing="1" w:after="100" w:afterAutospacing="1" w:line="288" w:lineRule="auto"/>
              <w:jc w:val="center"/>
              <w:rPr>
                <w:rFonts w:ascii="Century Gothic" w:hAnsi="Century Gothic"/>
                <w:b/>
                <w:bCs/>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D2776" w:rsidRPr="00915CAA" w:rsidRDefault="00ED2776" w:rsidP="001B21D0">
            <w:pPr>
              <w:pStyle w:val="Nagwek3"/>
              <w:snapToGrid w:val="0"/>
              <w:spacing w:line="276" w:lineRule="auto"/>
              <w:ind w:left="0" w:firstLine="0"/>
              <w:rPr>
                <w:rFonts w:ascii="Century Gothic" w:hAnsi="Century Gothic"/>
                <w:b w:val="0"/>
                <w:sz w:val="20"/>
                <w:szCs w:val="20"/>
                <w:lang w:eastAsia="en-US"/>
              </w:rPr>
            </w:pPr>
            <w:r w:rsidRPr="00915CAA">
              <w:rPr>
                <w:rFonts w:ascii="Century Gothic" w:hAnsi="Century Gothic"/>
                <w:b w:val="0"/>
                <w:sz w:val="20"/>
                <w:szCs w:val="20"/>
                <w:lang w:eastAsia="en-US"/>
              </w:rPr>
              <w:t xml:space="preserve">Każde </w:t>
            </w:r>
            <w:r w:rsidR="00C70B0F" w:rsidRPr="00915CAA">
              <w:rPr>
                <w:rFonts w:ascii="Century Gothic" w:hAnsi="Century Gothic"/>
                <w:b w:val="0"/>
                <w:sz w:val="20"/>
                <w:szCs w:val="20"/>
                <w:lang w:eastAsia="en-US"/>
              </w:rPr>
              <w:t xml:space="preserve">elektroniczne </w:t>
            </w:r>
            <w:r w:rsidRPr="00915CAA">
              <w:rPr>
                <w:rFonts w:ascii="Century Gothic" w:hAnsi="Century Gothic"/>
                <w:b w:val="0"/>
                <w:sz w:val="20"/>
                <w:szCs w:val="20"/>
                <w:lang w:eastAsia="en-US"/>
              </w:rPr>
              <w:t xml:space="preserve">urządzenie  </w:t>
            </w:r>
            <w:r w:rsidR="001B21D0" w:rsidRPr="00915CAA">
              <w:rPr>
                <w:rFonts w:ascii="Century Gothic" w:hAnsi="Century Gothic"/>
                <w:b w:val="0"/>
                <w:sz w:val="20"/>
                <w:szCs w:val="20"/>
                <w:lang w:eastAsia="en-US"/>
              </w:rPr>
              <w:t xml:space="preserve">zaoferowane </w:t>
            </w:r>
            <w:r w:rsidR="00BD595F" w:rsidRPr="00915CAA">
              <w:rPr>
                <w:rFonts w:ascii="Century Gothic" w:hAnsi="Century Gothic"/>
                <w:b w:val="0"/>
                <w:sz w:val="20"/>
                <w:szCs w:val="20"/>
                <w:lang w:eastAsia="en-US"/>
              </w:rPr>
              <w:t xml:space="preserve">w </w:t>
            </w:r>
            <w:r w:rsidR="001B21D0" w:rsidRPr="00915CAA">
              <w:rPr>
                <w:rFonts w:ascii="Century Gothic" w:hAnsi="Century Gothic"/>
                <w:b w:val="0"/>
                <w:sz w:val="20"/>
                <w:szCs w:val="20"/>
                <w:lang w:eastAsia="en-US"/>
              </w:rPr>
              <w:t>części</w:t>
            </w:r>
            <w:r w:rsidR="00BD595F" w:rsidRPr="00915CAA">
              <w:rPr>
                <w:rFonts w:ascii="Century Gothic" w:hAnsi="Century Gothic"/>
                <w:b w:val="0"/>
                <w:sz w:val="20"/>
                <w:szCs w:val="20"/>
                <w:lang w:eastAsia="en-US"/>
              </w:rPr>
              <w:t xml:space="preserve"> 1</w:t>
            </w:r>
            <w:r w:rsidRPr="00915CAA">
              <w:rPr>
                <w:rFonts w:ascii="Century Gothic" w:hAnsi="Century Gothic"/>
                <w:b w:val="0"/>
                <w:sz w:val="20"/>
                <w:szCs w:val="20"/>
                <w:lang w:eastAsia="en-US"/>
              </w:rPr>
              <w:t xml:space="preserve"> </w:t>
            </w:r>
            <w:r w:rsidR="001B21D0" w:rsidRPr="00915CAA">
              <w:rPr>
                <w:rFonts w:ascii="Century Gothic" w:hAnsi="Century Gothic"/>
                <w:b w:val="0"/>
                <w:sz w:val="20"/>
                <w:szCs w:val="20"/>
                <w:lang w:eastAsia="en-US"/>
              </w:rPr>
              <w:t xml:space="preserve">z dołączonym </w:t>
            </w:r>
            <w:r w:rsidR="00215BBA" w:rsidRPr="00915CAA">
              <w:rPr>
                <w:rFonts w:ascii="Century Gothic" w:hAnsi="Century Gothic"/>
                <w:b w:val="0"/>
                <w:sz w:val="20"/>
                <w:szCs w:val="20"/>
                <w:lang w:eastAsia="en-US"/>
              </w:rPr>
              <w:t xml:space="preserve">pełnym </w:t>
            </w:r>
            <w:r w:rsidR="001B21D0" w:rsidRPr="00915CAA">
              <w:rPr>
                <w:rFonts w:ascii="Century Gothic" w:hAnsi="Century Gothic"/>
                <w:b w:val="0"/>
                <w:sz w:val="20"/>
                <w:szCs w:val="20"/>
                <w:lang w:eastAsia="en-US"/>
              </w:rPr>
              <w:t xml:space="preserve">interfejsem </w:t>
            </w:r>
            <w:r w:rsidR="00215BBA" w:rsidRPr="00915CAA">
              <w:rPr>
                <w:rFonts w:ascii="Century Gothic" w:hAnsi="Century Gothic"/>
                <w:b w:val="0"/>
                <w:sz w:val="20"/>
                <w:szCs w:val="20"/>
                <w:lang w:eastAsia="en-US"/>
              </w:rPr>
              <w:t>(do ustalenia z zamawiającym na etapie dostawy) d</w:t>
            </w:r>
            <w:r w:rsidR="001B21D0" w:rsidRPr="00915CAA">
              <w:rPr>
                <w:rFonts w:ascii="Century Gothic" w:hAnsi="Century Gothic"/>
                <w:b w:val="0"/>
                <w:sz w:val="20"/>
                <w:szCs w:val="20"/>
                <w:lang w:eastAsia="en-US"/>
              </w:rPr>
              <w:t xml:space="preserve">o </w:t>
            </w:r>
            <w:r w:rsidRPr="00915CAA">
              <w:rPr>
                <w:rFonts w:ascii="Century Gothic" w:hAnsi="Century Gothic"/>
                <w:b w:val="0"/>
                <w:sz w:val="20"/>
                <w:szCs w:val="20"/>
                <w:lang w:eastAsia="en-US"/>
              </w:rPr>
              <w:t xml:space="preserve"> komunikacji z systemem </w:t>
            </w:r>
            <w:r w:rsidR="00BD595F" w:rsidRPr="00915CAA">
              <w:rPr>
                <w:rFonts w:ascii="Century Gothic" w:hAnsi="Century Gothic"/>
                <w:b w:val="0"/>
                <w:sz w:val="20"/>
                <w:szCs w:val="20"/>
                <w:lang w:eastAsia="en-US"/>
              </w:rPr>
              <w:t xml:space="preserve">do </w:t>
            </w:r>
            <w:r w:rsidR="001B21D0" w:rsidRPr="00915CAA">
              <w:rPr>
                <w:rFonts w:ascii="Century Gothic" w:hAnsi="Century Gothic"/>
                <w:b w:val="0"/>
                <w:sz w:val="20"/>
                <w:szCs w:val="20"/>
                <w:lang w:eastAsia="en-US"/>
              </w:rPr>
              <w:t xml:space="preserve">monitorowania </w:t>
            </w:r>
            <w:r w:rsidRPr="00915CAA">
              <w:rPr>
                <w:rFonts w:ascii="Century Gothic" w:hAnsi="Century Gothic"/>
                <w:b w:val="0"/>
                <w:sz w:val="20"/>
                <w:szCs w:val="20"/>
                <w:lang w:eastAsia="en-US"/>
              </w:rPr>
              <w:t>i zarządzania</w:t>
            </w:r>
            <w:r w:rsidR="001B21D0" w:rsidRPr="00915CAA">
              <w:rPr>
                <w:rFonts w:ascii="Century Gothic" w:hAnsi="Century Gothic"/>
                <w:b w:val="0"/>
                <w:sz w:val="20"/>
                <w:szCs w:val="20"/>
                <w:lang w:eastAsia="en-US"/>
              </w:rPr>
              <w:t xml:space="preserve"> pracą </w:t>
            </w:r>
            <w:r w:rsidRPr="00915CAA">
              <w:rPr>
                <w:rFonts w:ascii="Century Gothic" w:hAnsi="Century Gothic"/>
                <w:b w:val="0"/>
                <w:sz w:val="20"/>
                <w:szCs w:val="20"/>
                <w:lang w:eastAsia="en-US"/>
              </w:rPr>
              <w:t>OIOM</w:t>
            </w:r>
            <w:r w:rsidR="001B21D0" w:rsidRPr="00915CAA">
              <w:rPr>
                <w:rFonts w:ascii="Century Gothic" w:hAnsi="Century Gothic"/>
                <w:b w:val="0"/>
                <w:sz w:val="20"/>
                <w:szCs w:val="20"/>
                <w:lang w:eastAsia="en-US"/>
              </w:rPr>
              <w:t xml:space="preserve"> </w:t>
            </w:r>
            <w:r w:rsidR="00915CAA">
              <w:rPr>
                <w:rFonts w:ascii="Century Gothic" w:hAnsi="Century Gothic"/>
                <w:b w:val="0"/>
                <w:sz w:val="20"/>
                <w:szCs w:val="20"/>
                <w:lang w:eastAsia="en-US"/>
              </w:rPr>
              <w:t>wiodących</w:t>
            </w:r>
            <w:r w:rsidR="001B21D0" w:rsidRPr="00915CAA">
              <w:rPr>
                <w:rFonts w:ascii="Century Gothic" w:hAnsi="Century Gothic"/>
                <w:b w:val="0"/>
                <w:sz w:val="20"/>
                <w:szCs w:val="20"/>
                <w:lang w:eastAsia="en-US"/>
              </w:rPr>
              <w:t xml:space="preserve"> producentów.</w:t>
            </w:r>
          </w:p>
          <w:p w:rsidR="001B21D0" w:rsidRPr="00915CAA" w:rsidRDefault="001B21D0" w:rsidP="00D31E77">
            <w:pPr>
              <w:pStyle w:val="Nagwek3"/>
              <w:snapToGrid w:val="0"/>
              <w:spacing w:line="276" w:lineRule="auto"/>
              <w:ind w:left="0" w:firstLine="0"/>
              <w:rPr>
                <w:rFonts w:ascii="Century Gothic" w:hAnsi="Century Gothic"/>
                <w:b w:val="0"/>
                <w:sz w:val="20"/>
                <w:szCs w:val="20"/>
                <w:lang w:eastAsia="en-US"/>
              </w:rPr>
            </w:pPr>
            <w:r w:rsidRPr="00915CAA">
              <w:rPr>
                <w:rFonts w:ascii="Century Gothic" w:hAnsi="Century Gothic"/>
                <w:b w:val="0"/>
                <w:sz w:val="20"/>
                <w:szCs w:val="20"/>
                <w:lang w:eastAsia="en-US"/>
              </w:rPr>
              <w:t>Opisany system pozwala</w:t>
            </w:r>
            <w:r w:rsidR="00BD595F" w:rsidRPr="00915CAA">
              <w:rPr>
                <w:rFonts w:ascii="Century Gothic" w:hAnsi="Century Gothic"/>
                <w:b w:val="0"/>
                <w:sz w:val="20"/>
                <w:szCs w:val="20"/>
                <w:lang w:eastAsia="en-US"/>
              </w:rPr>
              <w:t xml:space="preserve"> m.in.</w:t>
            </w:r>
            <w:r w:rsidRPr="00915CAA">
              <w:rPr>
                <w:rFonts w:ascii="Century Gothic" w:hAnsi="Century Gothic"/>
                <w:b w:val="0"/>
                <w:sz w:val="20"/>
                <w:szCs w:val="20"/>
                <w:lang w:eastAsia="en-US"/>
              </w:rPr>
              <w:t xml:space="preserve"> na gromadzenie danych infuzji, </w:t>
            </w:r>
            <w:r w:rsidR="00BD595F" w:rsidRPr="00915CAA">
              <w:rPr>
                <w:rFonts w:ascii="Century Gothic" w:hAnsi="Century Gothic"/>
                <w:b w:val="0"/>
                <w:sz w:val="20"/>
                <w:szCs w:val="20"/>
                <w:lang w:eastAsia="en-US"/>
              </w:rPr>
              <w:t xml:space="preserve">systemów </w:t>
            </w:r>
            <w:r w:rsidRPr="00915CAA">
              <w:rPr>
                <w:rFonts w:ascii="Century Gothic" w:hAnsi="Century Gothic"/>
                <w:b w:val="0"/>
                <w:sz w:val="20"/>
                <w:szCs w:val="20"/>
                <w:lang w:eastAsia="en-US"/>
              </w:rPr>
              <w:t>monitorowa</w:t>
            </w:r>
            <w:r w:rsidR="00BD595F" w:rsidRPr="00915CAA">
              <w:rPr>
                <w:rFonts w:ascii="Century Gothic" w:hAnsi="Century Gothic"/>
                <w:b w:val="0"/>
                <w:sz w:val="20"/>
                <w:szCs w:val="20"/>
                <w:lang w:eastAsia="en-US"/>
              </w:rPr>
              <w:t>nia pacjenta, wentylacji oraz hemodializy, a także</w:t>
            </w:r>
            <w:r w:rsidR="00D31E77" w:rsidRPr="00915CAA">
              <w:rPr>
                <w:rFonts w:ascii="Century Gothic" w:hAnsi="Century Gothic"/>
                <w:b w:val="0"/>
                <w:sz w:val="20"/>
                <w:szCs w:val="20"/>
                <w:lang w:eastAsia="en-US"/>
              </w:rPr>
              <w:t xml:space="preserve"> wielowarstwową</w:t>
            </w:r>
            <w:r w:rsidR="00BD595F" w:rsidRPr="00915CAA">
              <w:rPr>
                <w:rFonts w:ascii="Century Gothic" w:hAnsi="Century Gothic"/>
                <w:b w:val="0"/>
                <w:sz w:val="20"/>
                <w:szCs w:val="20"/>
                <w:lang w:eastAsia="en-US"/>
              </w:rPr>
              <w:t xml:space="preserve"> analizę informacji</w:t>
            </w:r>
            <w:r w:rsidR="00D31E77" w:rsidRPr="00915CAA">
              <w:rPr>
                <w:rFonts w:ascii="Century Gothic" w:hAnsi="Century Gothic"/>
                <w:b w:val="0"/>
                <w:sz w:val="20"/>
                <w:szCs w:val="20"/>
                <w:lang w:eastAsia="en-US"/>
              </w:rPr>
              <w:t xml:space="preserve"> zarówno dla całości OIOM jak i  poszczególnych stanowisk pacjentów.</w:t>
            </w:r>
            <w:r w:rsidR="00215BBA" w:rsidRPr="00915CAA">
              <w:rPr>
                <w:rFonts w:ascii="Century Gothic" w:hAnsi="Century Gothic"/>
                <w:b w:val="0"/>
                <w:sz w:val="20"/>
                <w:szCs w:val="20"/>
                <w:lang w:eastAsia="en-US"/>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rsidR="00ED2776" w:rsidRPr="00915CAA" w:rsidRDefault="00ED2776"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r w:rsidRPr="00915CAA">
              <w:rPr>
                <w:rFonts w:ascii="Century Gothic" w:hAnsi="Century Gothic"/>
                <w:bCs/>
                <w:sz w:val="20"/>
                <w:szCs w:val="20"/>
                <w:lang w:eastAsia="en-US"/>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D2776" w:rsidRPr="00915CAA" w:rsidRDefault="00ED2776"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p>
        </w:tc>
        <w:tc>
          <w:tcPr>
            <w:tcW w:w="2412" w:type="dxa"/>
            <w:tcBorders>
              <w:top w:val="single" w:sz="4" w:space="0" w:color="auto"/>
              <w:left w:val="single" w:sz="4" w:space="0" w:color="auto"/>
              <w:bottom w:val="single" w:sz="4" w:space="0" w:color="auto"/>
              <w:right w:val="single" w:sz="4" w:space="0" w:color="auto"/>
            </w:tcBorders>
          </w:tcPr>
          <w:p w:rsidR="00ED2776" w:rsidRPr="00915CAA" w:rsidRDefault="00ED2776"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r w:rsidRPr="00915CAA">
              <w:rPr>
                <w:rFonts w:ascii="Century Gothic" w:hAnsi="Century Gothic"/>
                <w:bCs/>
                <w:sz w:val="20"/>
                <w:szCs w:val="20"/>
                <w:lang w:eastAsia="en-US"/>
              </w:rPr>
              <w:t>----</w:t>
            </w:r>
          </w:p>
        </w:tc>
      </w:tr>
      <w:tr w:rsidR="00371201" w:rsidRPr="00915CAA" w:rsidTr="00915CAA">
        <w:tc>
          <w:tcPr>
            <w:tcW w:w="675" w:type="dxa"/>
            <w:tcBorders>
              <w:top w:val="single" w:sz="4" w:space="0" w:color="auto"/>
              <w:left w:val="single" w:sz="4" w:space="0" w:color="auto"/>
              <w:bottom w:val="single" w:sz="4" w:space="0" w:color="auto"/>
              <w:right w:val="single" w:sz="4" w:space="0" w:color="auto"/>
            </w:tcBorders>
            <w:vAlign w:val="center"/>
          </w:tcPr>
          <w:p w:rsidR="00371201" w:rsidRPr="00915CAA" w:rsidRDefault="00371201" w:rsidP="008913F8">
            <w:pPr>
              <w:pStyle w:val="Akapitzlist"/>
              <w:widowControl w:val="0"/>
              <w:numPr>
                <w:ilvl w:val="0"/>
                <w:numId w:val="17"/>
              </w:numPr>
              <w:snapToGrid w:val="0"/>
              <w:spacing w:before="100" w:beforeAutospacing="1" w:after="100" w:afterAutospacing="1" w:line="288" w:lineRule="auto"/>
              <w:jc w:val="center"/>
              <w:rPr>
                <w:rFonts w:ascii="Century Gothic" w:hAnsi="Century Gothic"/>
                <w:b/>
                <w:bCs/>
                <w:sz w:val="20"/>
                <w:szCs w:val="20"/>
              </w:rPr>
            </w:pPr>
          </w:p>
        </w:tc>
        <w:tc>
          <w:tcPr>
            <w:tcW w:w="5387" w:type="dxa"/>
            <w:tcBorders>
              <w:top w:val="single" w:sz="4" w:space="0" w:color="auto"/>
              <w:left w:val="single" w:sz="4" w:space="0" w:color="auto"/>
              <w:bottom w:val="single" w:sz="4" w:space="0" w:color="auto"/>
              <w:right w:val="single" w:sz="4" w:space="0" w:color="auto"/>
            </w:tcBorders>
          </w:tcPr>
          <w:p w:rsidR="00371201" w:rsidRPr="00915CAA" w:rsidRDefault="00371201" w:rsidP="001B21D0">
            <w:pPr>
              <w:pStyle w:val="Nagwek3"/>
              <w:snapToGrid w:val="0"/>
              <w:spacing w:line="276" w:lineRule="auto"/>
              <w:ind w:left="0" w:firstLine="0"/>
              <w:rPr>
                <w:rFonts w:ascii="Century Gothic" w:hAnsi="Century Gothic"/>
                <w:b w:val="0"/>
                <w:sz w:val="20"/>
                <w:szCs w:val="20"/>
                <w:lang w:eastAsia="en-US"/>
              </w:rPr>
            </w:pPr>
            <w:r w:rsidRPr="00915CAA">
              <w:rPr>
                <w:rFonts w:ascii="Century Gothic" w:hAnsi="Century Gothic"/>
                <w:b w:val="0"/>
                <w:sz w:val="20"/>
                <w:szCs w:val="20"/>
                <w:lang w:eastAsia="en-US"/>
              </w:rPr>
              <w:t>Ujednolicony panel sterowania w pompach strzykawkowych i objętościowych</w:t>
            </w:r>
          </w:p>
        </w:tc>
        <w:tc>
          <w:tcPr>
            <w:tcW w:w="1559" w:type="dxa"/>
            <w:tcBorders>
              <w:top w:val="single" w:sz="4" w:space="0" w:color="auto"/>
              <w:left w:val="single" w:sz="4" w:space="0" w:color="auto"/>
              <w:bottom w:val="single" w:sz="4" w:space="0" w:color="auto"/>
              <w:right w:val="single" w:sz="4" w:space="0" w:color="auto"/>
            </w:tcBorders>
          </w:tcPr>
          <w:p w:rsidR="00371201" w:rsidRPr="00915CAA" w:rsidRDefault="00371201"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r w:rsidRPr="00915CAA">
              <w:rPr>
                <w:rFonts w:ascii="Century Gothic" w:hAnsi="Century Gothic"/>
                <w:bCs/>
                <w:sz w:val="20"/>
                <w:szCs w:val="20"/>
                <w:lang w:eastAsia="en-US"/>
              </w:rPr>
              <w:t>podać</w:t>
            </w:r>
          </w:p>
        </w:tc>
        <w:tc>
          <w:tcPr>
            <w:tcW w:w="4534" w:type="dxa"/>
            <w:tcBorders>
              <w:top w:val="single" w:sz="4" w:space="0" w:color="auto"/>
              <w:left w:val="single" w:sz="4" w:space="0" w:color="auto"/>
              <w:bottom w:val="single" w:sz="4" w:space="0" w:color="auto"/>
              <w:right w:val="single" w:sz="4" w:space="0" w:color="auto"/>
            </w:tcBorders>
          </w:tcPr>
          <w:p w:rsidR="00371201" w:rsidRPr="00915CAA" w:rsidRDefault="00371201"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p>
        </w:tc>
        <w:tc>
          <w:tcPr>
            <w:tcW w:w="2412" w:type="dxa"/>
            <w:tcBorders>
              <w:top w:val="single" w:sz="4" w:space="0" w:color="auto"/>
              <w:left w:val="single" w:sz="4" w:space="0" w:color="auto"/>
              <w:bottom w:val="single" w:sz="4" w:space="0" w:color="auto"/>
              <w:right w:val="single" w:sz="4" w:space="0" w:color="auto"/>
            </w:tcBorders>
          </w:tcPr>
          <w:p w:rsidR="00371201" w:rsidRPr="00915CAA" w:rsidRDefault="00371201" w:rsidP="00915CAA">
            <w:pPr>
              <w:snapToGrid w:val="0"/>
              <w:jc w:val="center"/>
              <w:rPr>
                <w:rFonts w:ascii="Century Gothic" w:hAnsi="Century Gothic"/>
                <w:bCs/>
                <w:sz w:val="20"/>
                <w:szCs w:val="20"/>
                <w:lang w:eastAsia="en-US"/>
              </w:rPr>
            </w:pPr>
            <w:r w:rsidRPr="00915CAA">
              <w:rPr>
                <w:rFonts w:ascii="Century Gothic" w:hAnsi="Century Gothic"/>
                <w:bCs/>
                <w:sz w:val="20"/>
                <w:szCs w:val="20"/>
                <w:lang w:eastAsia="en-US"/>
              </w:rPr>
              <w:t>1 pkt</w:t>
            </w:r>
            <w:r w:rsidR="00915CAA">
              <w:rPr>
                <w:rFonts w:ascii="Century Gothic" w:hAnsi="Century Gothic"/>
                <w:bCs/>
                <w:sz w:val="20"/>
                <w:szCs w:val="20"/>
                <w:lang w:eastAsia="en-US"/>
              </w:rPr>
              <w:t xml:space="preserve"> </w:t>
            </w:r>
            <w:r w:rsidRPr="00915CAA">
              <w:rPr>
                <w:rFonts w:ascii="Century Gothic" w:hAnsi="Century Gothic"/>
                <w:bCs/>
                <w:sz w:val="20"/>
                <w:szCs w:val="20"/>
                <w:lang w:eastAsia="en-US"/>
              </w:rPr>
              <w:t>- TAK</w:t>
            </w:r>
          </w:p>
          <w:p w:rsidR="00371201" w:rsidRPr="00915CAA" w:rsidRDefault="00371201" w:rsidP="00915CAA">
            <w:pPr>
              <w:widowControl w:val="0"/>
              <w:snapToGrid w:val="0"/>
              <w:jc w:val="center"/>
              <w:rPr>
                <w:rFonts w:ascii="Century Gothic" w:hAnsi="Century Gothic"/>
                <w:bCs/>
                <w:sz w:val="20"/>
                <w:szCs w:val="20"/>
                <w:lang w:eastAsia="en-US"/>
              </w:rPr>
            </w:pPr>
            <w:r w:rsidRPr="00915CAA">
              <w:rPr>
                <w:rFonts w:ascii="Century Gothic" w:hAnsi="Century Gothic"/>
                <w:bCs/>
                <w:sz w:val="20"/>
                <w:szCs w:val="20"/>
                <w:lang w:eastAsia="en-US"/>
              </w:rPr>
              <w:t>0 pkt - NIE</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vAlign w:val="center"/>
          </w:tcPr>
          <w:p w:rsidR="008913F8" w:rsidRPr="00915CAA" w:rsidRDefault="008913F8" w:rsidP="008913F8">
            <w:pPr>
              <w:pStyle w:val="Akapitzlist"/>
              <w:widowControl w:val="0"/>
              <w:numPr>
                <w:ilvl w:val="0"/>
                <w:numId w:val="17"/>
              </w:numPr>
              <w:snapToGrid w:val="0"/>
              <w:spacing w:before="100" w:beforeAutospacing="1" w:after="100" w:afterAutospacing="1" w:line="288" w:lineRule="auto"/>
              <w:jc w:val="center"/>
              <w:rPr>
                <w:rFonts w:ascii="Century Gothic" w:hAnsi="Century Gothic"/>
                <w:b/>
                <w:bCs/>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862DFB" w:rsidRDefault="00862DFB" w:rsidP="001B21D0">
            <w:pPr>
              <w:pStyle w:val="Nagwek3"/>
              <w:snapToGrid w:val="0"/>
              <w:spacing w:line="276" w:lineRule="auto"/>
              <w:ind w:left="0" w:firstLine="0"/>
              <w:rPr>
                <w:rFonts w:ascii="Century Gothic" w:hAnsi="Century Gothic"/>
                <w:b w:val="0"/>
                <w:sz w:val="20"/>
                <w:szCs w:val="20"/>
                <w:highlight w:val="yellow"/>
                <w:lang w:eastAsia="en-US"/>
              </w:rPr>
            </w:pPr>
            <w:r w:rsidRPr="00862DFB">
              <w:rPr>
                <w:rFonts w:ascii="Century Gothic" w:hAnsi="Century Gothic"/>
                <w:b w:val="0"/>
                <w:sz w:val="20"/>
                <w:szCs w:val="20"/>
                <w:highlight w:val="yellow"/>
                <w:lang w:eastAsia="en-US"/>
              </w:rPr>
              <w:t>Wszystkie zaoferowane urządzenia w części 1 kompatybilne. Pompy i stacje w pełni przystosowane do współpracy z zaoferowanym (wymaganym przez zamawiającego) oprogramowaniem do infuzji.(ten sam producent oprogramowania)</w:t>
            </w:r>
          </w:p>
        </w:tc>
        <w:tc>
          <w:tcPr>
            <w:tcW w:w="1559" w:type="dxa"/>
            <w:tcBorders>
              <w:top w:val="single" w:sz="4" w:space="0" w:color="auto"/>
              <w:left w:val="single" w:sz="4" w:space="0" w:color="auto"/>
              <w:bottom w:val="single" w:sz="4" w:space="0" w:color="auto"/>
              <w:right w:val="single" w:sz="4" w:space="0" w:color="auto"/>
            </w:tcBorders>
            <w:vAlign w:val="center"/>
          </w:tcPr>
          <w:p w:rsidR="008913F8" w:rsidRPr="00915CAA" w:rsidRDefault="008913F8"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r w:rsidRPr="00915CAA">
              <w:rPr>
                <w:rFonts w:ascii="Century Gothic" w:hAnsi="Century Gothic"/>
                <w:bCs/>
                <w:sz w:val="20"/>
                <w:szCs w:val="20"/>
                <w:lang w:eastAsia="en-US"/>
              </w:rPr>
              <w:t>TAK</w:t>
            </w:r>
          </w:p>
        </w:tc>
        <w:tc>
          <w:tcPr>
            <w:tcW w:w="4534" w:type="dxa"/>
            <w:tcBorders>
              <w:top w:val="single" w:sz="4" w:space="0" w:color="auto"/>
              <w:left w:val="single" w:sz="4" w:space="0" w:color="auto"/>
              <w:bottom w:val="single" w:sz="4" w:space="0" w:color="auto"/>
              <w:right w:val="single" w:sz="4" w:space="0" w:color="auto"/>
            </w:tcBorders>
            <w:vAlign w:val="center"/>
          </w:tcPr>
          <w:p w:rsidR="008913F8" w:rsidRPr="00915CAA" w:rsidRDefault="008913F8"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snapToGrid w:val="0"/>
              <w:jc w:val="center"/>
              <w:rPr>
                <w:rFonts w:ascii="Century Gothic" w:hAnsi="Century Gothic"/>
                <w:bCs/>
                <w:sz w:val="20"/>
                <w:szCs w:val="20"/>
                <w:lang w:eastAsia="en-US"/>
              </w:rPr>
            </w:pPr>
            <w:r w:rsidRPr="00915CAA">
              <w:rPr>
                <w:rFonts w:ascii="Century Gothic" w:hAnsi="Century Gothic"/>
                <w:bCs/>
                <w:sz w:val="20"/>
                <w:szCs w:val="20"/>
                <w:lang w:eastAsia="en-US"/>
              </w:rPr>
              <w:t>----</w:t>
            </w:r>
          </w:p>
        </w:tc>
      </w:tr>
      <w:tr w:rsidR="008913F8" w:rsidRPr="00915CAA" w:rsidTr="008C66D1">
        <w:tc>
          <w:tcPr>
            <w:tcW w:w="14567" w:type="dxa"/>
            <w:gridSpan w:val="5"/>
            <w:tcBorders>
              <w:top w:val="single" w:sz="4" w:space="0" w:color="auto"/>
              <w:left w:val="single" w:sz="4" w:space="0" w:color="auto"/>
              <w:bottom w:val="single" w:sz="4" w:space="0" w:color="auto"/>
              <w:right w:val="single" w:sz="4" w:space="0" w:color="auto"/>
            </w:tcBorders>
          </w:tcPr>
          <w:p w:rsidR="008913F8" w:rsidRPr="00915CAA" w:rsidRDefault="008913F8" w:rsidP="008C66D1">
            <w:pPr>
              <w:snapToGrid w:val="0"/>
              <w:jc w:val="center"/>
              <w:rPr>
                <w:rFonts w:ascii="Century Gothic" w:hAnsi="Century Gothic"/>
                <w:sz w:val="20"/>
                <w:szCs w:val="20"/>
              </w:rPr>
            </w:pPr>
            <w:r w:rsidRPr="00915CAA">
              <w:rPr>
                <w:rFonts w:ascii="Century Gothic" w:hAnsi="Century Gothic"/>
                <w:color w:val="000000"/>
                <w:sz w:val="20"/>
                <w:szCs w:val="20"/>
              </w:rPr>
              <w:t>Pompy strzykawkowe (biblioteka leków) – 574 szt.</w:t>
            </w:r>
          </w:p>
        </w:tc>
      </w:tr>
      <w:tr w:rsidR="008913F8" w:rsidRPr="00915CAA" w:rsidTr="00915CAA">
        <w:trPr>
          <w:trHeight w:val="765"/>
        </w:trPr>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DE0E2E">
            <w:pPr>
              <w:snapToGrid w:val="0"/>
              <w:jc w:val="both"/>
              <w:rPr>
                <w:rFonts w:ascii="Century Gothic" w:hAnsi="Century Gothic"/>
                <w:sz w:val="20"/>
                <w:szCs w:val="20"/>
              </w:rPr>
            </w:pPr>
            <w:r w:rsidRPr="00915CAA">
              <w:rPr>
                <w:rFonts w:ascii="Century Gothic" w:hAnsi="Century Gothic"/>
                <w:sz w:val="20"/>
                <w:szCs w:val="20"/>
              </w:rPr>
              <w:t>Oferowane urządzenia muszą spełniać normę                  EN 60601-1 Klasa II, typ CF</w:t>
            </w:r>
            <w:r w:rsidR="00DE0E2E">
              <w:rPr>
                <w:rFonts w:ascii="Century Gothic" w:hAnsi="Century Gothic"/>
                <w:sz w:val="20"/>
                <w:szCs w:val="20"/>
              </w:rPr>
              <w:t xml:space="preserve"> </w:t>
            </w:r>
            <w:r w:rsidR="00DE0E2E" w:rsidRPr="00DE0E2E">
              <w:rPr>
                <w:rFonts w:ascii="Century Gothic" w:hAnsi="Century Gothic"/>
                <w:color w:val="FF0000"/>
                <w:sz w:val="20"/>
                <w:szCs w:val="20"/>
              </w:rPr>
              <w:t xml:space="preserve">lub </w:t>
            </w:r>
            <w:r w:rsidR="00DE0E2E" w:rsidRPr="00DE0E2E">
              <w:rPr>
                <w:rFonts w:ascii="Century Gothic" w:hAnsi="Century Gothic"/>
                <w:color w:val="FF0000"/>
                <w:sz w:val="20"/>
                <w:szCs w:val="20"/>
                <w:lang w:eastAsia="pl-PL"/>
              </w:rPr>
              <w:t>spełniające normy EN 60601-1, typ CF w pierwszej klasie bezpieczeństwa elektrycznego</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8216B8">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ED6304" w:rsidRDefault="008913F8" w:rsidP="00ED6304">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Zabezpieczenie pompy przed przypadkowym zalaniem układów mechaniki i elektroniki, podać stopień ochrony IP – wymagany nie mniej niż IP 22</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915CAA" w:rsidP="004D58EA">
            <w:pPr>
              <w:snapToGrid w:val="0"/>
              <w:jc w:val="center"/>
              <w:rPr>
                <w:rFonts w:ascii="Century Gothic" w:hAnsi="Century Gothic"/>
                <w:sz w:val="20"/>
                <w:szCs w:val="20"/>
              </w:rPr>
            </w:pPr>
            <w:r>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1A0751" w:rsidP="004D58EA">
            <w:pPr>
              <w:snapToGrid w:val="0"/>
              <w:jc w:val="center"/>
              <w:rPr>
                <w:rFonts w:ascii="Century Gothic" w:hAnsi="Century Gothic"/>
                <w:sz w:val="20"/>
                <w:szCs w:val="20"/>
              </w:rPr>
            </w:pPr>
            <w:r w:rsidRPr="00915CAA">
              <w:rPr>
                <w:rFonts w:ascii="Century Gothic" w:hAnsi="Century Gothic"/>
                <w:sz w:val="20"/>
                <w:szCs w:val="20"/>
              </w:rPr>
              <w:t>0,2</w:t>
            </w:r>
            <w:r w:rsidR="00915CAA">
              <w:rPr>
                <w:rFonts w:ascii="Century Gothic" w:hAnsi="Century Gothic"/>
                <w:sz w:val="20"/>
                <w:szCs w:val="20"/>
              </w:rPr>
              <w:t xml:space="preserve"> pkt z</w:t>
            </w:r>
            <w:r w:rsidR="008913F8" w:rsidRPr="00915CAA">
              <w:rPr>
                <w:rFonts w:ascii="Century Gothic" w:hAnsi="Century Gothic"/>
                <w:sz w:val="20"/>
                <w:szCs w:val="20"/>
              </w:rPr>
              <w:t>a najwyższy stopień IP, pozostałe 0 pkt.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ED6304" w:rsidRDefault="008913F8" w:rsidP="00ED6304">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 xml:space="preserve">Zasilanie 220-240 V AC, 50 Hz </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ED6304" w:rsidRDefault="008913F8" w:rsidP="00ED6304">
            <w:pPr>
              <w:pStyle w:val="Akapitzlist"/>
              <w:numPr>
                <w:ilvl w:val="0"/>
                <w:numId w:val="17"/>
              </w:numPr>
              <w:snapToGrid w:val="0"/>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B100B8">
            <w:pPr>
              <w:snapToGrid w:val="0"/>
              <w:rPr>
                <w:rFonts w:ascii="Century Gothic" w:hAnsi="Century Gothic"/>
                <w:sz w:val="20"/>
                <w:szCs w:val="20"/>
              </w:rPr>
            </w:pPr>
            <w:r w:rsidRPr="00915CAA">
              <w:rPr>
                <w:rFonts w:ascii="Century Gothic" w:hAnsi="Century Gothic"/>
                <w:sz w:val="20"/>
                <w:szCs w:val="20"/>
              </w:rPr>
              <w:t>Bateria o krótkim czasie ładowania (podać dokładny czas ładowania od trybu pełnego rozładowania, aż do trybu pełnego naładowania nowego egzemplarza (podany przez producenta)</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DB6159">
            <w:pPr>
              <w:snapToGrid w:val="0"/>
              <w:jc w:val="center"/>
              <w:rPr>
                <w:rFonts w:ascii="Century Gothic" w:hAnsi="Century Gothic"/>
                <w:sz w:val="20"/>
                <w:szCs w:val="20"/>
              </w:rPr>
            </w:pPr>
            <w:r w:rsidRPr="00915CAA">
              <w:rPr>
                <w:rFonts w:ascii="Century Gothic" w:hAnsi="Century Gothic"/>
                <w:sz w:val="20"/>
                <w:szCs w:val="20"/>
              </w:rPr>
              <w:t>TAK</w:t>
            </w:r>
          </w:p>
          <w:p w:rsidR="008913F8" w:rsidRPr="00915CAA" w:rsidRDefault="008913F8" w:rsidP="00DB6159">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DB6159">
            <w:pPr>
              <w:snapToGrid w:val="0"/>
              <w:jc w:val="center"/>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1A0751" w:rsidP="00DB6159">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ED6304" w:rsidRDefault="008913F8" w:rsidP="00ED6304">
            <w:pPr>
              <w:pStyle w:val="Akapitzlist"/>
              <w:numPr>
                <w:ilvl w:val="0"/>
                <w:numId w:val="17"/>
              </w:numPr>
              <w:snapToGrid w:val="0"/>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B100B8">
            <w:pPr>
              <w:snapToGrid w:val="0"/>
              <w:rPr>
                <w:rFonts w:ascii="Century Gothic" w:hAnsi="Century Gothic"/>
                <w:sz w:val="20"/>
                <w:szCs w:val="20"/>
              </w:rPr>
            </w:pPr>
            <w:r w:rsidRPr="00915CAA">
              <w:rPr>
                <w:rFonts w:ascii="Century Gothic" w:hAnsi="Century Gothic"/>
                <w:sz w:val="20"/>
                <w:szCs w:val="20"/>
              </w:rPr>
              <w:t>Możliwość wymiany akumulatora przez użytkownika bez użycia specjalnych narzędzi i wykonywania przeglądu technicznego</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DB6159">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DB6159">
            <w:pPr>
              <w:snapToGrid w:val="0"/>
              <w:jc w:val="center"/>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1A0751">
            <w:pPr>
              <w:snapToGrid w:val="0"/>
              <w:jc w:val="center"/>
              <w:rPr>
                <w:rFonts w:ascii="Century Gothic" w:hAnsi="Century Gothic"/>
                <w:sz w:val="20"/>
                <w:szCs w:val="20"/>
              </w:rPr>
            </w:pPr>
            <w:r w:rsidRPr="00915CAA">
              <w:rPr>
                <w:rFonts w:ascii="Century Gothic" w:hAnsi="Century Gothic"/>
                <w:sz w:val="20"/>
                <w:szCs w:val="20"/>
              </w:rPr>
              <w:t xml:space="preserve">Tak – </w:t>
            </w:r>
            <w:r w:rsidR="001A0751" w:rsidRPr="00915CAA">
              <w:rPr>
                <w:rFonts w:ascii="Century Gothic" w:hAnsi="Century Gothic"/>
                <w:sz w:val="20"/>
                <w:szCs w:val="20"/>
              </w:rPr>
              <w:t>0,5</w:t>
            </w:r>
            <w:r w:rsidRPr="00915CAA">
              <w:rPr>
                <w:rFonts w:ascii="Century Gothic" w:hAnsi="Century Gothic"/>
                <w:sz w:val="20"/>
                <w:szCs w:val="20"/>
              </w:rPr>
              <w:t xml:space="preserve"> pkt, Nie – 0 pkt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ED6304" w:rsidRDefault="008913F8" w:rsidP="00ED6304">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D4395A">
            <w:pPr>
              <w:snapToGrid w:val="0"/>
              <w:jc w:val="both"/>
              <w:rPr>
                <w:rFonts w:ascii="Century Gothic" w:hAnsi="Century Gothic"/>
                <w:sz w:val="20"/>
                <w:szCs w:val="20"/>
              </w:rPr>
            </w:pPr>
            <w:r w:rsidRPr="00915CAA">
              <w:rPr>
                <w:rFonts w:ascii="Century Gothic" w:hAnsi="Century Gothic"/>
                <w:sz w:val="20"/>
                <w:szCs w:val="20"/>
              </w:rPr>
              <w:t>Czas pracy pompy przy zasilaniu akumulatorowym, dla szybkości dozowania 5 ml/godz. nie mniej niż 5 godzin</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915CAA" w:rsidP="004D58EA">
            <w:pPr>
              <w:snapToGrid w:val="0"/>
              <w:jc w:val="center"/>
              <w:rPr>
                <w:rFonts w:ascii="Century Gothic" w:hAnsi="Century Gothic"/>
                <w:sz w:val="20"/>
                <w:szCs w:val="20"/>
              </w:rPr>
            </w:pPr>
            <w:r>
              <w:rPr>
                <w:rFonts w:ascii="Century Gothic" w:hAnsi="Century Gothic"/>
                <w:sz w:val="20"/>
                <w:szCs w:val="20"/>
              </w:rPr>
              <w:t xml:space="preserve">TAK, </w:t>
            </w:r>
            <w:r w:rsidR="008913F8"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F35A1E">
            <w:pPr>
              <w:snapToGrid w:val="0"/>
              <w:jc w:val="center"/>
              <w:rPr>
                <w:rFonts w:ascii="Century Gothic" w:hAnsi="Century Gothic"/>
                <w:sz w:val="20"/>
                <w:szCs w:val="20"/>
              </w:rPr>
            </w:pPr>
            <w:r w:rsidRPr="00915CAA">
              <w:rPr>
                <w:rFonts w:ascii="Century Gothic" w:hAnsi="Century Gothic"/>
                <w:sz w:val="20"/>
                <w:szCs w:val="20"/>
              </w:rPr>
              <w:t>1 pkt za najdłuższy czas, pozostałe 0 pkt.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ED6304" w:rsidRDefault="008913F8" w:rsidP="00ED6304">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Niezależny wskaźnik stanu naładowania akumulatora pompy wyświetlający poziom naładowania/rozładowania akumulatora. Wskaźnik przedstawiać ma użytkownikowi orientacyjny poziom naładowania/rozładowania akumulatora w danej chwili, dlatego Zamawiający  dopuszcza prezentację tego parametru w stanie włączenia jak i wyłączenia pompy. Zamawiający nie dopuszcza prezentacji stanu naładowania /rozładowania akumulatora w trybie serwisowym</w:t>
            </w:r>
          </w:p>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Lub</w:t>
            </w:r>
          </w:p>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Wskaźnik stanu naładowania akumulatora na obudowie pompy widoczny przy włączonej i wyłączonej pompie</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 – Podać opis</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C2792A">
            <w:pPr>
              <w:snapToGrid w:val="0"/>
              <w:jc w:val="both"/>
              <w:rPr>
                <w:rFonts w:ascii="Century Gothic" w:hAnsi="Century Gothic"/>
                <w:sz w:val="20"/>
                <w:szCs w:val="20"/>
              </w:rPr>
            </w:pPr>
            <w:r w:rsidRPr="00915CAA">
              <w:rPr>
                <w:rFonts w:ascii="Century Gothic" w:hAnsi="Century Gothic"/>
                <w:sz w:val="20"/>
                <w:szCs w:val="20"/>
              </w:rPr>
              <w:t xml:space="preserve">Wbudowany w pompie, system mocowania na szynie medycznej oraz na masztach infuzyjnych bez dodatkowo montowanych uchwytów lub z dodatkowo montowanymi uchwytami.(dla </w:t>
            </w:r>
            <w:r w:rsidR="00C2792A" w:rsidRPr="00915CAA">
              <w:rPr>
                <w:rFonts w:ascii="Century Gothic" w:hAnsi="Century Gothic"/>
                <w:sz w:val="20"/>
                <w:szCs w:val="20"/>
              </w:rPr>
              <w:t>15</w:t>
            </w:r>
            <w:r w:rsidRPr="00915CAA">
              <w:rPr>
                <w:rFonts w:ascii="Century Gothic" w:hAnsi="Century Gothic"/>
                <w:sz w:val="20"/>
                <w:szCs w:val="20"/>
              </w:rPr>
              <w:t>% pomp)</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FC7DB0">
            <w:pPr>
              <w:snapToGrid w:val="0"/>
              <w:jc w:val="both"/>
              <w:rPr>
                <w:rFonts w:ascii="Century Gothic" w:hAnsi="Century Gothic"/>
                <w:sz w:val="20"/>
                <w:szCs w:val="20"/>
              </w:rPr>
            </w:pPr>
            <w:r w:rsidRPr="00915CAA">
              <w:rPr>
                <w:rFonts w:ascii="Century Gothic" w:hAnsi="Century Gothic"/>
                <w:sz w:val="20"/>
                <w:szCs w:val="20"/>
              </w:rPr>
              <w:t>Wbudowany, nie demontowany uchwyt ułatwiający przenoszenie pompy lub uchwyt montowany dodatkowo (w przypadku dekodowalnego dla 20% pomp)</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FC7DB0">
            <w:pPr>
              <w:snapToGrid w:val="0"/>
              <w:jc w:val="both"/>
              <w:rPr>
                <w:rFonts w:ascii="Century Gothic" w:hAnsi="Century Gothic"/>
                <w:sz w:val="20"/>
                <w:szCs w:val="20"/>
              </w:rPr>
            </w:pPr>
            <w:r w:rsidRPr="00915CAA">
              <w:rPr>
                <w:rFonts w:ascii="Century Gothic" w:hAnsi="Century Gothic"/>
                <w:sz w:val="20"/>
                <w:szCs w:val="20"/>
              </w:rPr>
              <w:t>Dla pomp posiadających zasilacz zewnętrzny, zasilacze dla 20% pomp.</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Zatrzaskowy sposób mocowania pompy w stacji dokującej</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429">
            <w:pPr>
              <w:snapToGrid w:val="0"/>
              <w:jc w:val="both"/>
              <w:rPr>
                <w:rFonts w:ascii="Century Gothic" w:hAnsi="Century Gothic"/>
                <w:sz w:val="20"/>
                <w:szCs w:val="20"/>
              </w:rPr>
            </w:pPr>
            <w:r w:rsidRPr="00915CAA">
              <w:rPr>
                <w:rFonts w:ascii="Century Gothic" w:hAnsi="Century Gothic"/>
                <w:sz w:val="20"/>
                <w:szCs w:val="20"/>
              </w:rPr>
              <w:t>Manualne mocowanie w pompie lub mechaniczne mocowanie strzykawki w pompie</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915CAA" w:rsidP="004D58EA">
            <w:pPr>
              <w:snapToGrid w:val="0"/>
              <w:jc w:val="center"/>
              <w:rPr>
                <w:rFonts w:ascii="Century Gothic" w:hAnsi="Century Gothic"/>
                <w:sz w:val="20"/>
                <w:szCs w:val="20"/>
              </w:rPr>
            </w:pPr>
            <w:r>
              <w:rPr>
                <w:rFonts w:ascii="Century Gothic" w:hAnsi="Century Gothic"/>
                <w:sz w:val="20"/>
                <w:szCs w:val="20"/>
              </w:rPr>
              <w:t>Tak, p</w:t>
            </w:r>
            <w:r w:rsidR="008913F8" w:rsidRPr="00915CAA">
              <w:rPr>
                <w:rFonts w:ascii="Century Gothic" w:hAnsi="Century Gothic"/>
                <w:sz w:val="20"/>
                <w:szCs w:val="20"/>
              </w:rPr>
              <w:t>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CF262D">
            <w:pPr>
              <w:snapToGrid w:val="0"/>
              <w:jc w:val="center"/>
              <w:rPr>
                <w:rFonts w:ascii="Century Gothic" w:hAnsi="Century Gothic"/>
                <w:sz w:val="20"/>
                <w:szCs w:val="20"/>
              </w:rPr>
            </w:pPr>
            <w:r w:rsidRPr="00915CAA">
              <w:rPr>
                <w:rFonts w:ascii="Century Gothic" w:hAnsi="Century Gothic"/>
                <w:sz w:val="20"/>
                <w:szCs w:val="20"/>
              </w:rPr>
              <w:t>0 pkt za manualne mocowanie w pompie; 2 pkt za mechaniczne mocowanie strzykawki w pompie</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915CAA">
            <w:pPr>
              <w:pStyle w:val="Akapitzlist"/>
              <w:numPr>
                <w:ilvl w:val="0"/>
                <w:numId w:val="17"/>
              </w:numPr>
              <w:suppressAutoHyphens w:val="0"/>
              <w:spacing w:before="100" w:beforeAutospacing="1" w:after="100" w:afterAutospacing="1" w:line="288" w:lineRule="auto"/>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Montaż strzykawki od czoła pompy infuzyjnej</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Ustawianie parametrów infuzji za pomocą klawiatury strzałkowej lub symbolicznej</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Wbudowany interfejs do dwustronnej komunikacji z systemem zarządzającym infuzją oraz innym pompami</w:t>
            </w:r>
            <w:r w:rsidR="002D5F76">
              <w:rPr>
                <w:rFonts w:ascii="Century Gothic" w:hAnsi="Century Gothic"/>
                <w:sz w:val="20"/>
                <w:szCs w:val="20"/>
              </w:rPr>
              <w:t xml:space="preserve"> </w:t>
            </w:r>
            <w:r w:rsidR="002D5F76" w:rsidRPr="002D5F76">
              <w:rPr>
                <w:rFonts w:ascii="Century Gothic" w:hAnsi="Century Gothic"/>
                <w:color w:val="FF0000"/>
                <w:sz w:val="20"/>
                <w:szCs w:val="20"/>
              </w:rPr>
              <w:t xml:space="preserve">lub rozwiązanie bez </w:t>
            </w:r>
            <w:r w:rsidR="002D5F76" w:rsidRPr="002D5F76">
              <w:rPr>
                <w:rFonts w:ascii="Century Gothic" w:hAnsi="Century Gothic"/>
                <w:color w:val="FF0000"/>
                <w:sz w:val="20"/>
                <w:szCs w:val="20"/>
                <w:lang w:eastAsia="pl-PL"/>
              </w:rPr>
              <w:t>możliwości komunikacji dwustronnej pomiędzy poszczególnymi pompami</w:t>
            </w:r>
            <w:r w:rsidR="002D5F76" w:rsidRPr="002D5F76">
              <w:rPr>
                <w:rFonts w:ascii="Garamond" w:hAnsi="Garamond"/>
                <w:color w:val="FF0000"/>
                <w:lang w:eastAsia="pl-PL"/>
              </w:rPr>
              <w:t xml:space="preserve">  </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 xml:space="preserve">Ciężar urządzenia w [kg] nie więcej niż 2,4 </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C2792A" w:rsidP="00C2792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82254E">
            <w:pPr>
              <w:snapToGrid w:val="0"/>
              <w:jc w:val="both"/>
              <w:rPr>
                <w:rFonts w:ascii="Century Gothic" w:hAnsi="Century Gothic"/>
                <w:sz w:val="20"/>
                <w:szCs w:val="20"/>
              </w:rPr>
            </w:pPr>
            <w:r w:rsidRPr="00915CAA">
              <w:rPr>
                <w:rFonts w:ascii="Century Gothic" w:hAnsi="Century Gothic"/>
                <w:sz w:val="20"/>
                <w:szCs w:val="20"/>
              </w:rPr>
              <w:t>Duży, czytelny wyświetlacz wbudowany w pompie, z szerokim kątem widzenia z każdej strony, o największej powierzchni (w cm</w:t>
            </w:r>
            <w:r w:rsidRPr="00915CAA">
              <w:rPr>
                <w:rFonts w:ascii="Century Gothic" w:hAnsi="Century Gothic"/>
                <w:sz w:val="20"/>
                <w:szCs w:val="20"/>
                <w:vertAlign w:val="superscript"/>
              </w:rPr>
              <w:t>2</w:t>
            </w:r>
            <w:r w:rsidRPr="00915CAA">
              <w:rPr>
                <w:rFonts w:ascii="Century Gothic" w:hAnsi="Century Gothic"/>
                <w:sz w:val="20"/>
                <w:szCs w:val="20"/>
              </w:rPr>
              <w:t>)</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BA61A8">
            <w:pPr>
              <w:snapToGrid w:val="0"/>
              <w:jc w:val="center"/>
              <w:rPr>
                <w:rFonts w:ascii="Century Gothic" w:hAnsi="Century Gothic"/>
                <w:sz w:val="20"/>
                <w:szCs w:val="20"/>
              </w:rPr>
            </w:pPr>
            <w:r w:rsidRPr="00915CAA">
              <w:rPr>
                <w:rFonts w:ascii="Century Gothic" w:hAnsi="Century Gothic"/>
                <w:sz w:val="20"/>
                <w:szCs w:val="20"/>
              </w:rPr>
              <w:t xml:space="preserve">Podać </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A63FA0">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C2792A" w:rsidP="00152636">
            <w:pPr>
              <w:snapToGrid w:val="0"/>
              <w:jc w:val="center"/>
              <w:rPr>
                <w:rFonts w:ascii="Century Gothic" w:hAnsi="Century Gothic"/>
                <w:sz w:val="20"/>
                <w:szCs w:val="20"/>
              </w:rPr>
            </w:pPr>
            <w:r w:rsidRPr="00915CAA">
              <w:rPr>
                <w:rFonts w:ascii="Century Gothic" w:hAnsi="Century Gothic"/>
                <w:sz w:val="20"/>
                <w:szCs w:val="20"/>
              </w:rPr>
              <w:t>0,5</w:t>
            </w:r>
            <w:r w:rsidR="008913F8" w:rsidRPr="00915CAA">
              <w:rPr>
                <w:rFonts w:ascii="Century Gothic" w:hAnsi="Century Gothic"/>
                <w:sz w:val="20"/>
                <w:szCs w:val="20"/>
              </w:rPr>
              <w:t xml:space="preserve"> pkt za ekran wbudowany w pompę o największej powierzchni wyświetlacza, </w:t>
            </w:r>
            <w:r w:rsidR="008913F8" w:rsidRPr="00915CAA">
              <w:rPr>
                <w:rFonts w:ascii="Century Gothic" w:hAnsi="Century Gothic"/>
                <w:sz w:val="20"/>
                <w:szCs w:val="20"/>
              </w:rPr>
              <w:lastRenderedPageBreak/>
              <w:t xml:space="preserve">pozostałe 0 pkt. </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82254E">
            <w:pPr>
              <w:snapToGrid w:val="0"/>
              <w:jc w:val="both"/>
              <w:rPr>
                <w:rFonts w:ascii="Century Gothic" w:hAnsi="Century Gothic"/>
                <w:sz w:val="20"/>
                <w:szCs w:val="20"/>
              </w:rPr>
            </w:pPr>
            <w:r w:rsidRPr="00915CAA">
              <w:rPr>
                <w:rFonts w:ascii="Century Gothic" w:hAnsi="Century Gothic"/>
                <w:sz w:val="20"/>
                <w:szCs w:val="20"/>
              </w:rPr>
              <w:t xml:space="preserve">Historia zdarzeń, przechowywana w pamięci pompy </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915CAA" w:rsidP="004D58EA">
            <w:pPr>
              <w:snapToGrid w:val="0"/>
              <w:jc w:val="center"/>
              <w:rPr>
                <w:rFonts w:ascii="Century Gothic" w:hAnsi="Century Gothic"/>
                <w:sz w:val="20"/>
                <w:szCs w:val="20"/>
              </w:rPr>
            </w:pPr>
            <w:r>
              <w:rPr>
                <w:rFonts w:ascii="Century Gothic" w:hAnsi="Century Gothic"/>
                <w:sz w:val="20"/>
                <w:szCs w:val="20"/>
              </w:rPr>
              <w:t xml:space="preserve">Tak, </w:t>
            </w:r>
            <w:r w:rsidR="008913F8"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FB3281">
            <w:pPr>
              <w:suppressAutoHyphens w:val="0"/>
              <w:spacing w:after="200" w:line="276" w:lineRule="auto"/>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1 pkt za największą ilość zdarzeń, pozostałe 0 pkt.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Praca ze strzykawkami o pojemności minimum od 5 do 50/60 ml</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r w:rsidR="00915CAA">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2C3D8E">
            <w:pPr>
              <w:snapToGrid w:val="0"/>
              <w:jc w:val="center"/>
              <w:rPr>
                <w:rFonts w:ascii="Century Gothic" w:hAnsi="Century Gothic"/>
                <w:color w:val="FF0000"/>
                <w:sz w:val="20"/>
                <w:szCs w:val="20"/>
              </w:rPr>
            </w:pPr>
            <w:r w:rsidRPr="00915CAA">
              <w:rPr>
                <w:rFonts w:ascii="Century Gothic" w:hAnsi="Century Gothic"/>
                <w:sz w:val="20"/>
                <w:szCs w:val="20"/>
              </w:rPr>
              <w:t>Dodatkowa praca ze strzykawkami 2/3 ml – 1 pkt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Zakres szybkości przepływu w zakresie nie mniejszym niż od 0,1 do 1200 ml/godz dla strzykawki 50 ml</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r w:rsidR="00915CAA">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B81B98">
            <w:pPr>
              <w:snapToGrid w:val="0"/>
              <w:jc w:val="center"/>
              <w:rPr>
                <w:rFonts w:ascii="Century Gothic" w:hAnsi="Century Gothic"/>
                <w:color w:val="FF0000"/>
                <w:sz w:val="20"/>
                <w:szCs w:val="20"/>
              </w:rPr>
            </w:pPr>
            <w:r w:rsidRPr="00915CAA">
              <w:rPr>
                <w:rFonts w:ascii="Century Gothic" w:hAnsi="Century Gothic"/>
                <w:sz w:val="20"/>
                <w:szCs w:val="20"/>
              </w:rPr>
              <w:t>1 pkt za najwyższą prędkość, 0 pkt za pozostałe</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991906">
            <w:pPr>
              <w:snapToGrid w:val="0"/>
              <w:jc w:val="both"/>
              <w:rPr>
                <w:rFonts w:ascii="Century Gothic" w:hAnsi="Century Gothic"/>
                <w:sz w:val="20"/>
                <w:szCs w:val="20"/>
              </w:rPr>
            </w:pPr>
            <w:r w:rsidRPr="00915CAA">
              <w:rPr>
                <w:rFonts w:ascii="Century Gothic" w:hAnsi="Century Gothic"/>
                <w:sz w:val="20"/>
                <w:szCs w:val="20"/>
              </w:rPr>
              <w:t>Objętość infuzji w zakresie nie mniejszym niż 0,1 do 999 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Możliwość zmiany prędkości podaży leku w trakcie pracy bez konieczności wyłączenia pompy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A03535">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Dokładność systemu przy szy</w:t>
            </w:r>
            <w:r w:rsidR="00915CAA">
              <w:rPr>
                <w:rFonts w:ascii="Century Gothic" w:hAnsi="Century Gothic"/>
                <w:sz w:val="20"/>
                <w:szCs w:val="20"/>
              </w:rPr>
              <w:t xml:space="preserve">bkości 1 ml/godz i powyżej – </w:t>
            </w:r>
            <w:r w:rsidRPr="00915CAA">
              <w:rPr>
                <w:rFonts w:ascii="Century Gothic" w:hAnsi="Century Gothic"/>
                <w:sz w:val="20"/>
                <w:szCs w:val="20"/>
              </w:rPr>
              <w:t>( ± 3%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r w:rsidR="00915CAA">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E780E">
            <w:pPr>
              <w:snapToGrid w:val="0"/>
              <w:jc w:val="center"/>
              <w:rPr>
                <w:rFonts w:ascii="Century Gothic" w:hAnsi="Century Gothic"/>
                <w:sz w:val="20"/>
                <w:szCs w:val="20"/>
              </w:rPr>
            </w:pPr>
            <w:r w:rsidRPr="00915CAA">
              <w:rPr>
                <w:rFonts w:ascii="Century Gothic" w:hAnsi="Century Gothic"/>
                <w:sz w:val="20"/>
                <w:szCs w:val="20"/>
              </w:rPr>
              <w:t>Najwyższa dokładność – 2 pkt. Pozostałe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E780E">
            <w:pPr>
              <w:snapToGrid w:val="0"/>
              <w:jc w:val="both"/>
              <w:rPr>
                <w:rFonts w:ascii="Century Gothic" w:hAnsi="Century Gothic"/>
                <w:sz w:val="20"/>
                <w:szCs w:val="20"/>
              </w:rPr>
            </w:pPr>
            <w:r w:rsidRPr="00915CAA">
              <w:rPr>
                <w:rFonts w:ascii="Century Gothic" w:hAnsi="Century Gothic"/>
                <w:sz w:val="20"/>
                <w:szCs w:val="20"/>
              </w:rPr>
              <w:t>Możliwość pracy co najmniej w następujących trybach : tylko szybkość dozowania w ml/godz; szybkość dozowania + objętość infuzji do podania; objętość do podania + czas podaży</w:t>
            </w:r>
          </w:p>
          <w:p w:rsidR="00A03535" w:rsidRPr="00915CAA" w:rsidRDefault="00A03535" w:rsidP="002E780E">
            <w:pPr>
              <w:snapToGrid w:val="0"/>
              <w:jc w:val="both"/>
              <w:rPr>
                <w:rFonts w:ascii="Century Gothic" w:hAnsi="Century Gothic"/>
                <w:sz w:val="20"/>
                <w:szCs w:val="20"/>
              </w:rPr>
            </w:pPr>
            <w:r w:rsidRPr="00915CAA">
              <w:rPr>
                <w:rFonts w:ascii="Century Gothic" w:hAnsi="Century Gothic"/>
                <w:sz w:val="20"/>
                <w:szCs w:val="20"/>
              </w:rPr>
              <w:t>( automatyczne wyliczanie prędkości podaży)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C2510">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DE10E6" w:rsidRPr="00DE10E6" w:rsidRDefault="00A03535" w:rsidP="00DE10E6">
            <w:pPr>
              <w:snapToGrid w:val="0"/>
              <w:jc w:val="both"/>
              <w:rPr>
                <w:rFonts w:ascii="Century Gothic" w:hAnsi="Century Gothic"/>
                <w:sz w:val="20"/>
                <w:szCs w:val="20"/>
              </w:rPr>
            </w:pPr>
            <w:r w:rsidRPr="00915CAA">
              <w:rPr>
                <w:rFonts w:ascii="Century Gothic" w:hAnsi="Century Gothic"/>
                <w:sz w:val="20"/>
                <w:szCs w:val="20"/>
              </w:rPr>
              <w:t xml:space="preserve">Możliwość programowania infuzji w jednostkach masy: ng,  μg, mg, g, mmol, mU, U, kcal, mEq  , –  na kg masy ciała pacjenta lub nie, na czas (na </w:t>
            </w:r>
            <w:r w:rsidR="00DE10E6">
              <w:rPr>
                <w:rFonts w:ascii="Century Gothic" w:hAnsi="Century Gothic"/>
                <w:sz w:val="20"/>
                <w:szCs w:val="20"/>
              </w:rPr>
              <w:t xml:space="preserve">24godziny, godzinę oraz minutę) </w:t>
            </w:r>
            <w:r w:rsidR="00DE10E6" w:rsidRPr="00DE10E6">
              <w:rPr>
                <w:rFonts w:ascii="Century Gothic" w:hAnsi="Century Gothic"/>
                <w:color w:val="FF0000"/>
                <w:sz w:val="20"/>
                <w:szCs w:val="20"/>
              </w:rPr>
              <w:t>lub</w:t>
            </w:r>
            <w:r w:rsidR="00DE10E6">
              <w:rPr>
                <w:rFonts w:ascii="Century Gothic" w:hAnsi="Century Gothic"/>
                <w:color w:val="FF0000"/>
                <w:sz w:val="20"/>
                <w:szCs w:val="20"/>
              </w:rPr>
              <w:t xml:space="preserve"> </w:t>
            </w:r>
            <w:r w:rsidR="00DE10E6" w:rsidRPr="00DE10E6">
              <w:rPr>
                <w:rFonts w:ascii="Century Gothic" w:hAnsi="Century Gothic"/>
                <w:color w:val="FF0000"/>
                <w:sz w:val="20"/>
                <w:szCs w:val="20"/>
                <w:lang w:eastAsia="pl-PL"/>
              </w:rPr>
              <w:t>pompy infuzyjne z programowaniem parametrów infuzji w jednostkach: ml, ng, μg, mg, g, mU, U, kU, mmol z uwzględnieniem wagi pacjenta lub nie na min, godz oraz 24 godz</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Dozowanie z prędkością wyliczoną na podstawie objętości i czasu, w którym dawka ma być podana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Możliwość wyboru trybów pracy po zakończeniu infuzji minimum: zatrzymanie infuzji, tryb KVO (utrzymanie drożności wlewu/naczynia), kontynuacja infuzji z poprzednią prędkością</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C2510">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Tryb BOLUS z podaniem dawki uderzeniowej bez zatrzymania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automatyczny (hands free) z konfigurowaną przez użytkownika prędkością podaży w zakresie min 10 – 1200 ml/h oraz objętością dawki w zakresie min 0,1 – 25 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78584E">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A03535">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ręczny (hands on) z konfigurowaną przez użytkownika prędkością podaży w zakresie min 10 – 1200 ml/h i kontrolą objętości podanego bolusa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A03535">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A5CCB">
            <w:pPr>
              <w:snapToGrid w:val="0"/>
              <w:jc w:val="both"/>
              <w:rPr>
                <w:rFonts w:ascii="Century Gothic" w:hAnsi="Century Gothic"/>
                <w:sz w:val="20"/>
                <w:szCs w:val="20"/>
              </w:rPr>
            </w:pPr>
            <w:r w:rsidRPr="00915CAA">
              <w:rPr>
                <w:rFonts w:ascii="Century Gothic" w:hAnsi="Century Gothic"/>
                <w:sz w:val="20"/>
                <w:szCs w:val="20"/>
              </w:rPr>
              <w:t xml:space="preserve">Automatyczna funkcja antybolus po okluzji czyli zabezpieczanie przed podaniem niekontrolowanego bolusa po alarmie okluzji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D5F76">
            <w:pPr>
              <w:snapToGrid w:val="0"/>
              <w:jc w:val="both"/>
              <w:rPr>
                <w:rFonts w:ascii="Century Gothic" w:hAnsi="Century Gothic"/>
                <w:sz w:val="20"/>
                <w:szCs w:val="20"/>
              </w:rPr>
            </w:pPr>
            <w:r w:rsidRPr="00915CAA">
              <w:rPr>
                <w:rFonts w:ascii="Century Gothic" w:hAnsi="Century Gothic"/>
                <w:sz w:val="20"/>
                <w:szCs w:val="20"/>
              </w:rPr>
              <w:t>Funkcja wypełnienia drenu z prędkością regulowaną w zakresie 100 – 500 ml/h, z zakresem objętości od 0,5 do 5 ml.</w:t>
            </w:r>
            <w:r w:rsidR="002D5F76">
              <w:rPr>
                <w:rFonts w:ascii="Century Gothic" w:hAnsi="Century Gothic"/>
                <w:sz w:val="20"/>
                <w:szCs w:val="20"/>
              </w:rPr>
              <w:t xml:space="preserve"> </w:t>
            </w:r>
            <w:r w:rsidR="002D5F76">
              <w:rPr>
                <w:rFonts w:ascii="Century Gothic" w:hAnsi="Century Gothic"/>
                <w:color w:val="FF0000"/>
                <w:sz w:val="20"/>
                <w:szCs w:val="20"/>
              </w:rPr>
              <w:t>l</w:t>
            </w:r>
            <w:r w:rsidR="002D5F76" w:rsidRPr="002D5F76">
              <w:rPr>
                <w:rFonts w:ascii="Century Gothic" w:hAnsi="Century Gothic"/>
                <w:color w:val="FF0000"/>
                <w:sz w:val="20"/>
                <w:szCs w:val="20"/>
              </w:rPr>
              <w:t xml:space="preserve">ub </w:t>
            </w:r>
            <w:r w:rsidR="002D5F76" w:rsidRPr="002D5F76">
              <w:rPr>
                <w:rFonts w:ascii="Century Gothic" w:hAnsi="Century Gothic"/>
                <w:color w:val="FF0000"/>
                <w:sz w:val="20"/>
                <w:szCs w:val="20"/>
                <w:lang w:eastAsia="pl-PL"/>
              </w:rPr>
              <w:t>funkcja wypełnienia drenu z prędkością  1200ml/h  z zakresem objętości od 0,1 do 5ml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594DF0">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Funkcja szybkiego startu – do automatycznego kasowania luzów między mechanizmem tłoka a strzykawką podczas rozpoczynania wlewu</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Funkcja „back off” – automatycznego wycofania tłoka celem redukcji objętości bolusa w pełnym zakresie, po zwolnieniu okluzji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B67F45">
            <w:pPr>
              <w:suppressAutoHyphens w:val="0"/>
              <w:spacing w:after="200" w:line="276" w:lineRule="auto"/>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C520F9">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A106E9">
            <w:pPr>
              <w:snapToGrid w:val="0"/>
              <w:jc w:val="both"/>
              <w:rPr>
                <w:rFonts w:ascii="Century Gothic" w:hAnsi="Century Gothic"/>
                <w:sz w:val="20"/>
                <w:szCs w:val="20"/>
              </w:rPr>
            </w:pPr>
            <w:r w:rsidRPr="00915CAA">
              <w:rPr>
                <w:rFonts w:ascii="Century Gothic" w:hAnsi="Century Gothic"/>
                <w:sz w:val="20"/>
                <w:szCs w:val="20"/>
              </w:rPr>
              <w:t>Biblioteka leków min 150 leków wraz z protokołami infuzji, min. 15 profili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Możliwość modyfikacji przez Użytkownika wybranego protokołu lekowego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A3619">
            <w:pPr>
              <w:snapToGrid w:val="0"/>
              <w:jc w:val="both"/>
              <w:rPr>
                <w:rFonts w:ascii="Century Gothic" w:hAnsi="Century Gothic"/>
                <w:sz w:val="20"/>
                <w:szCs w:val="20"/>
              </w:rPr>
            </w:pPr>
            <w:r w:rsidRPr="00915CAA">
              <w:rPr>
                <w:rFonts w:ascii="Century Gothic" w:hAnsi="Century Gothic"/>
                <w:sz w:val="20"/>
                <w:szCs w:val="20"/>
              </w:rPr>
              <w:t>Możliwość ustawienia minimalnych i maksymalnych limitów twardych, których nie można przekroczyć  i limitów miękkich, które po zatwierdzeniu można przekroczyć dla protokołów dawkowania w bibliotece leków</w:t>
            </w:r>
            <w:r w:rsidR="00BA1E21">
              <w:rPr>
                <w:rFonts w:ascii="Century Gothic" w:hAnsi="Century Gothic"/>
                <w:sz w:val="20"/>
                <w:szCs w:val="20"/>
              </w:rPr>
              <w:t xml:space="preserve"> </w:t>
            </w:r>
            <w:r w:rsidR="00BA1E21" w:rsidRPr="00BA1E21">
              <w:rPr>
                <w:rFonts w:ascii="Century Gothic" w:hAnsi="Century Gothic"/>
                <w:color w:val="FF0000"/>
                <w:sz w:val="20"/>
                <w:szCs w:val="20"/>
              </w:rPr>
              <w:t xml:space="preserve">lub </w:t>
            </w:r>
            <w:r w:rsidR="00BA1E21" w:rsidRPr="00BA1E21">
              <w:rPr>
                <w:rFonts w:ascii="Century Gothic" w:hAnsi="Century Gothic"/>
                <w:color w:val="FF0000"/>
                <w:sz w:val="20"/>
                <w:szCs w:val="20"/>
                <w:lang w:eastAsia="pl-PL"/>
              </w:rPr>
              <w:t>możliwość ustawienia minimalnych i maksymalnych limitów miękkich, które po zatwierdzeniu można przekroczyć dla protokołów dawkowania leków w bibliotece leków oraz maksymalnych limitów twardych, których nie można przekroczyć,</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C520F9">
            <w:pPr>
              <w:snapToGrid w:val="0"/>
              <w:jc w:val="center"/>
              <w:rPr>
                <w:rFonts w:ascii="Century Gothic" w:hAnsi="Century Gothic"/>
                <w:sz w:val="20"/>
                <w:szCs w:val="20"/>
              </w:rPr>
            </w:pPr>
            <w:r w:rsidRPr="00915CAA">
              <w:rPr>
                <w:rFonts w:ascii="Century Gothic" w:hAnsi="Century Gothic"/>
                <w:sz w:val="20"/>
                <w:szCs w:val="20"/>
              </w:rPr>
              <w:t>Tak – 1 pkt, Nie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D5F76">
            <w:pPr>
              <w:snapToGrid w:val="0"/>
              <w:jc w:val="both"/>
              <w:rPr>
                <w:rFonts w:ascii="Century Gothic" w:hAnsi="Century Gothic"/>
                <w:sz w:val="20"/>
                <w:szCs w:val="20"/>
              </w:rPr>
            </w:pPr>
            <w:r w:rsidRPr="00915CAA">
              <w:rPr>
                <w:rFonts w:ascii="Century Gothic" w:hAnsi="Century Gothic"/>
                <w:sz w:val="20"/>
                <w:szCs w:val="20"/>
              </w:rPr>
              <w:t xml:space="preserve">Możliwość zaprogramowania parametrów infuzji dla pacjenta o ciężarze w zakresie od poniżej 500 gramów do maksymalnie  250 kg  </w:t>
            </w:r>
            <w:r w:rsidR="002D5F76" w:rsidRPr="002D5F76">
              <w:rPr>
                <w:rFonts w:ascii="Century Gothic" w:hAnsi="Century Gothic"/>
                <w:color w:val="FF0000"/>
                <w:sz w:val="20"/>
                <w:szCs w:val="20"/>
              </w:rPr>
              <w:t>lub m</w:t>
            </w:r>
            <w:r w:rsidR="002D5F76" w:rsidRPr="002D5F76">
              <w:rPr>
                <w:rFonts w:ascii="Century Gothic" w:hAnsi="Century Gothic"/>
                <w:color w:val="FF0000"/>
                <w:sz w:val="20"/>
                <w:szCs w:val="20"/>
                <w:lang w:eastAsia="pl-PL"/>
              </w:rPr>
              <w:t>ożliwość  zaprogramowania parametrów infuzji dla pacjenta o ciężarze w zakresie od 250 gramów do 350 kg</w:t>
            </w:r>
            <w:r w:rsidR="002D5F76" w:rsidRPr="002D5F76">
              <w:rPr>
                <w:rFonts w:ascii="Garamond" w:hAnsi="Garamond"/>
                <w:color w:val="FF0000"/>
                <w:lang w:eastAsia="pl-PL"/>
              </w:rPr>
              <w:t xml:space="preserve">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xml:space="preserve">Wyświetlanie wybranej przez Użytkownika nazwy leku na ekranie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xml:space="preserve">Możliwość równoczesnego wyświetlenia na ekranie pompy nazwy leków zawierające największą możliwą liczbę znaków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Wskaźnik wielkości okluzji, ustawianie granicy ciśnienia okluzji przed jak i w czasie infuzji bez jej przerywania, alarmy okluzji w zakresie nie mniejszym niż od 50 do 1000 mmHg (+/-20%)</w:t>
            </w:r>
          </w:p>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Ustawienie poziomu ciśnienia okluzji min. 9 poziomów</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r w:rsidR="00457F86">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eastAsia="Batang" w:hAnsi="Century Gothic"/>
                <w:color w:val="FF0000"/>
                <w:sz w:val="20"/>
                <w:szCs w:val="20"/>
              </w:rPr>
            </w:pPr>
          </w:p>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594DF0">
            <w:pPr>
              <w:snapToGrid w:val="0"/>
              <w:jc w:val="center"/>
              <w:rPr>
                <w:rFonts w:ascii="Century Gothic" w:hAnsi="Century Gothic"/>
                <w:sz w:val="20"/>
                <w:szCs w:val="20"/>
              </w:rPr>
            </w:pPr>
            <w:r w:rsidRPr="00915CAA">
              <w:rPr>
                <w:rFonts w:ascii="Century Gothic" w:hAnsi="Century Gothic"/>
                <w:sz w:val="20"/>
                <w:szCs w:val="20"/>
              </w:rPr>
              <w:t xml:space="preserve">&gt;15 poziomów 2 pkt;  pozostałe 0 pkt </w:t>
            </w:r>
          </w:p>
          <w:p w:rsidR="00A03535" w:rsidRPr="00915CAA" w:rsidRDefault="00A03535" w:rsidP="006A695E">
            <w:pPr>
              <w:snapToGrid w:val="0"/>
              <w:jc w:val="center"/>
              <w:rPr>
                <w:rFonts w:ascii="Century Gothic" w:hAnsi="Century Gothic"/>
                <w:sz w:val="20"/>
                <w:szCs w:val="20"/>
              </w:rPr>
            </w:pP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2073B">
            <w:pPr>
              <w:snapToGrid w:val="0"/>
              <w:jc w:val="both"/>
              <w:rPr>
                <w:rFonts w:ascii="Century Gothic" w:hAnsi="Century Gothic"/>
                <w:sz w:val="20"/>
                <w:szCs w:val="20"/>
              </w:rPr>
            </w:pPr>
            <w:r w:rsidRPr="00915CAA">
              <w:rPr>
                <w:rFonts w:ascii="Century Gothic" w:hAnsi="Century Gothic"/>
                <w:sz w:val="20"/>
                <w:szCs w:val="20"/>
              </w:rPr>
              <w:t>Czytelny wyświetlacz z możliwością wyświetlania min następujących informacji :</w:t>
            </w:r>
          </w:p>
          <w:p w:rsidR="00A03535" w:rsidRPr="00915CAA" w:rsidRDefault="00A03535" w:rsidP="0032073B">
            <w:pPr>
              <w:snapToGrid w:val="0"/>
              <w:jc w:val="both"/>
              <w:rPr>
                <w:rFonts w:ascii="Century Gothic" w:hAnsi="Century Gothic"/>
                <w:sz w:val="20"/>
                <w:szCs w:val="20"/>
              </w:rPr>
            </w:pPr>
          </w:p>
          <w:p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t>Nazwa leku</w:t>
            </w:r>
          </w:p>
          <w:p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t>Prędkość infuzji</w:t>
            </w:r>
          </w:p>
          <w:p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lastRenderedPageBreak/>
              <w:t>Informacja o trwającej infuzji  w postaci piktogramu lub alfanumerycznych zapisów</w:t>
            </w:r>
          </w:p>
          <w:p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t xml:space="preserve">Czas pozostały do końca infuzji </w:t>
            </w:r>
          </w:p>
          <w:p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t xml:space="preserve">Informacja o stanie naładowania akumulatora </w:t>
            </w:r>
          </w:p>
          <w:p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t xml:space="preserve">Graficzny obraz stanu ciśnienia </w:t>
            </w:r>
          </w:p>
          <w:p w:rsidR="00A03535" w:rsidRPr="00915CAA" w:rsidRDefault="00A03535" w:rsidP="0032073B">
            <w:pPr>
              <w:snapToGrid w:val="0"/>
              <w:jc w:val="both"/>
              <w:rPr>
                <w:rFonts w:ascii="Century Gothic" w:hAnsi="Century Gothic"/>
                <w:sz w:val="20"/>
                <w:szCs w:val="20"/>
              </w:rPr>
            </w:pP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32073B">
            <w:pPr>
              <w:snapToGrid w:val="0"/>
              <w:jc w:val="center"/>
              <w:rPr>
                <w:rFonts w:ascii="Century Gothic" w:hAnsi="Century Gothic"/>
                <w:sz w:val="20"/>
                <w:szCs w:val="20"/>
              </w:rPr>
            </w:pPr>
            <w:r w:rsidRPr="00915CAA">
              <w:rPr>
                <w:rFonts w:ascii="Century Gothic" w:hAnsi="Century Gothic"/>
                <w:sz w:val="20"/>
                <w:szCs w:val="20"/>
              </w:rPr>
              <w:lastRenderedPageBreak/>
              <w:t xml:space="preserve">TAK </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p w:rsidR="00A03535" w:rsidRPr="00915CAA" w:rsidRDefault="00A03535" w:rsidP="004D58EA">
            <w:pPr>
              <w:pStyle w:val="Standard"/>
              <w:snapToGrid w:val="0"/>
              <w:jc w:val="both"/>
              <w:rPr>
                <w:rFonts w:ascii="Century Gothic" w:hAnsi="Century Gothic"/>
                <w:color w:val="FF0000"/>
                <w:sz w:val="20"/>
                <w:szCs w:val="20"/>
              </w:rPr>
            </w:pPr>
          </w:p>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xml:space="preserve">Funkcja Stand-By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Możliwość pracy pompy w systemie zarządzającym infuzjami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b/>
                <w:sz w:val="20"/>
                <w:szCs w:val="20"/>
              </w:rPr>
            </w:pPr>
            <w:r w:rsidRPr="00915CAA">
              <w:rPr>
                <w:rFonts w:ascii="Century Gothic" w:hAnsi="Century Gothic"/>
                <w:b/>
                <w:sz w:val="20"/>
                <w:szCs w:val="20"/>
              </w:rPr>
              <w:t>Alarmy optyczne i akustyczne</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xml:space="preserve">Dwustopniowe zróżnicowane akustyczne i optyczne (wizualne)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Okluzji z zatrzymaniem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C66D1">
            <w:pPr>
              <w:snapToGrid w:val="0"/>
              <w:jc w:val="both"/>
              <w:rPr>
                <w:rFonts w:ascii="Century Gothic" w:hAnsi="Century Gothic"/>
                <w:sz w:val="20"/>
                <w:szCs w:val="20"/>
              </w:rPr>
            </w:pPr>
            <w:r w:rsidRPr="00915CAA">
              <w:rPr>
                <w:rFonts w:ascii="Century Gothic" w:hAnsi="Century Gothic"/>
                <w:sz w:val="20"/>
                <w:szCs w:val="20"/>
              </w:rPr>
              <w:t xml:space="preserve">Bliskiego końca infuzji </w:t>
            </w:r>
          </w:p>
          <w:p w:rsidR="00A03535" w:rsidRPr="00915CAA" w:rsidRDefault="00A03535" w:rsidP="00377A12">
            <w:pPr>
              <w:snapToGrid w:val="0"/>
              <w:jc w:val="both"/>
              <w:rPr>
                <w:rFonts w:ascii="Century Gothic" w:hAnsi="Century Gothic"/>
                <w:sz w:val="20"/>
                <w:szCs w:val="20"/>
              </w:rPr>
            </w:pP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BE0AFF">
            <w:pPr>
              <w:snapToGrid w:val="0"/>
              <w:jc w:val="both"/>
              <w:rPr>
                <w:rFonts w:ascii="Century Gothic" w:hAnsi="Century Gothic"/>
                <w:sz w:val="20"/>
                <w:szCs w:val="20"/>
              </w:rPr>
            </w:pPr>
            <w:r w:rsidRPr="00915CAA">
              <w:rPr>
                <w:rFonts w:ascii="Century Gothic" w:hAnsi="Century Gothic"/>
                <w:sz w:val="20"/>
                <w:szCs w:val="20"/>
              </w:rPr>
              <w:t>Końca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AF5A85">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6A695E">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Alarm przypominający zatrzymana infuzja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BE0AFF">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1850BD">
            <w:pPr>
              <w:snapToGrid w:val="0"/>
              <w:jc w:val="both"/>
              <w:rPr>
                <w:rFonts w:ascii="Century Gothic" w:hAnsi="Century Gothic"/>
                <w:sz w:val="20"/>
                <w:szCs w:val="20"/>
              </w:rPr>
            </w:pPr>
            <w:r w:rsidRPr="00915CAA">
              <w:rPr>
                <w:rFonts w:ascii="Century Gothic" w:hAnsi="Century Gothic"/>
                <w:sz w:val="20"/>
                <w:szCs w:val="20"/>
              </w:rPr>
              <w:t xml:space="preserve">Złego zamocowania strzykawki ze wskazaniem miejsca gdzie to nastąpiło lub w przypadku napędu automatycznego – komunikat nieznana strzykawka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BE0AFF">
            <w:pPr>
              <w:suppressAutoHyphens w:val="0"/>
              <w:spacing w:after="200" w:line="276" w:lineRule="auto"/>
              <w:rPr>
                <w:rFonts w:ascii="Century Gothic" w:hAnsi="Century Gothic"/>
                <w:sz w:val="20"/>
                <w:szCs w:val="20"/>
              </w:rPr>
            </w:pPr>
            <w:r w:rsidRPr="00915CAA">
              <w:rPr>
                <w:rFonts w:ascii="Century Gothic" w:hAnsi="Century Gothic"/>
                <w:sz w:val="20"/>
                <w:szCs w:val="20"/>
              </w:rPr>
              <w:t>Alarm zbliżającego się rozładowania akumulatora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BE0AFF">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Rozładowania baterii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snapToGrid w:val="0"/>
              <w:jc w:val="both"/>
              <w:rPr>
                <w:rFonts w:ascii="Century Gothic" w:hAnsi="Century Gothic"/>
                <w:sz w:val="20"/>
                <w:szCs w:val="20"/>
              </w:rPr>
            </w:pPr>
            <w:r w:rsidRPr="00915CAA">
              <w:rPr>
                <w:rFonts w:ascii="Century Gothic" w:hAnsi="Century Gothic"/>
                <w:sz w:val="20"/>
                <w:szCs w:val="20"/>
              </w:rPr>
              <w:t xml:space="preserve">Możliwość łączenie i zasilania jednym przewodem pompy w moduły min po 2 pompy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382231">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rPr>
          <w:trHeight w:val="735"/>
        </w:trPr>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snapToGrid w:val="0"/>
              <w:jc w:val="both"/>
              <w:rPr>
                <w:rFonts w:ascii="Century Gothic" w:hAnsi="Century Gothic"/>
                <w:sz w:val="20"/>
                <w:szCs w:val="20"/>
              </w:rPr>
            </w:pPr>
            <w:r w:rsidRPr="00915CAA">
              <w:rPr>
                <w:rFonts w:ascii="Century Gothic" w:hAnsi="Century Gothic"/>
                <w:sz w:val="20"/>
                <w:szCs w:val="20"/>
              </w:rPr>
              <w:t>Ustawianie poziomu ciśnienia okluzji –  min. 3 jednostki do wyboru – mmHg, kPa, PSI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Tak 1 pkt</w:t>
            </w:r>
          </w:p>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Nie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75BCD">
            <w:pPr>
              <w:snapToGrid w:val="0"/>
              <w:jc w:val="both"/>
              <w:rPr>
                <w:rFonts w:ascii="Century Gothic" w:hAnsi="Century Gothic"/>
                <w:sz w:val="20"/>
                <w:szCs w:val="20"/>
              </w:rPr>
            </w:pPr>
            <w:r w:rsidRPr="00915CAA">
              <w:rPr>
                <w:rFonts w:ascii="Century Gothic" w:hAnsi="Century Gothic"/>
                <w:sz w:val="20"/>
                <w:szCs w:val="20"/>
              </w:rPr>
              <w:t xml:space="preserve">Mechanizm blokujący tłok zapobiegający samoczynnemu opróżnianiu strzykawki,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Tak 0,5 pkt</w:t>
            </w:r>
          </w:p>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Nie 0 pkt</w:t>
            </w:r>
          </w:p>
        </w:tc>
      </w:tr>
      <w:tr w:rsidR="002B13BD" w:rsidRPr="00915CAA" w:rsidTr="00915CAA">
        <w:tc>
          <w:tcPr>
            <w:tcW w:w="675" w:type="dxa"/>
            <w:tcBorders>
              <w:top w:val="single" w:sz="4" w:space="0" w:color="auto"/>
              <w:left w:val="single" w:sz="4" w:space="0" w:color="auto"/>
              <w:bottom w:val="single" w:sz="4" w:space="0" w:color="auto"/>
              <w:right w:val="single" w:sz="4" w:space="0" w:color="auto"/>
            </w:tcBorders>
          </w:tcPr>
          <w:p w:rsidR="002B13BD" w:rsidRPr="00915CAA" w:rsidRDefault="002B13BD"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2B13BD" w:rsidRPr="00915CAA" w:rsidRDefault="002B13BD" w:rsidP="00E0329C">
            <w:pPr>
              <w:snapToGrid w:val="0"/>
              <w:jc w:val="both"/>
              <w:rPr>
                <w:rFonts w:ascii="Century Gothic" w:hAnsi="Century Gothic"/>
                <w:sz w:val="20"/>
                <w:szCs w:val="20"/>
              </w:rPr>
            </w:pPr>
            <w:r w:rsidRPr="00915CAA">
              <w:rPr>
                <w:rFonts w:ascii="Century Gothic" w:hAnsi="Century Gothic"/>
                <w:sz w:val="20"/>
                <w:szCs w:val="20"/>
              </w:rPr>
              <w:t>Funkcja programowania czasu infuzji przynajmniej od min. 1 – 96 godzin</w:t>
            </w:r>
          </w:p>
        </w:tc>
        <w:tc>
          <w:tcPr>
            <w:tcW w:w="1559" w:type="dxa"/>
            <w:tcBorders>
              <w:top w:val="single" w:sz="4" w:space="0" w:color="auto"/>
              <w:left w:val="single" w:sz="4" w:space="0" w:color="auto"/>
              <w:bottom w:val="single" w:sz="4" w:space="0" w:color="auto"/>
              <w:right w:val="single" w:sz="4" w:space="0" w:color="auto"/>
            </w:tcBorders>
          </w:tcPr>
          <w:p w:rsidR="002B13BD" w:rsidRDefault="002B13BD">
            <w:pPr>
              <w:snapToGrid w:val="0"/>
              <w:jc w:val="center"/>
              <w:rPr>
                <w:rFonts w:ascii="Century Gothic" w:hAnsi="Century Gothic"/>
                <w:color w:val="FF0000"/>
                <w:sz w:val="20"/>
                <w:szCs w:val="20"/>
                <w:lang w:eastAsia="en-US"/>
              </w:rPr>
            </w:pPr>
            <w:r>
              <w:rPr>
                <w:rFonts w:ascii="Century Gothic" w:hAnsi="Century Gothic"/>
                <w:color w:val="FF0000"/>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2B13BD" w:rsidRDefault="002B13BD">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2B13BD" w:rsidRDefault="002B13BD" w:rsidP="002B13BD">
            <w:pPr>
              <w:snapToGrid w:val="0"/>
              <w:jc w:val="center"/>
              <w:rPr>
                <w:rFonts w:ascii="Century Gothic" w:hAnsi="Century Gothic" w:cstheme="minorBidi"/>
                <w:color w:val="FF0000"/>
                <w:sz w:val="20"/>
                <w:szCs w:val="20"/>
              </w:rPr>
            </w:pPr>
            <w:r>
              <w:rPr>
                <w:rFonts w:ascii="Century Gothic" w:hAnsi="Century Gothic"/>
                <w:color w:val="FF0000"/>
                <w:sz w:val="20"/>
                <w:szCs w:val="20"/>
              </w:rPr>
              <w:t>Tak 0,5 pkt</w:t>
            </w:r>
          </w:p>
          <w:p w:rsidR="002B13BD" w:rsidRDefault="002B13BD" w:rsidP="002B13BD">
            <w:pPr>
              <w:jc w:val="center"/>
              <w:rPr>
                <w:rFonts w:ascii="Century Gothic" w:hAnsi="Century Gothic"/>
                <w:color w:val="FF0000"/>
                <w:sz w:val="20"/>
                <w:szCs w:val="20"/>
                <w:lang w:eastAsia="en-US"/>
              </w:rPr>
            </w:pPr>
            <w:r>
              <w:rPr>
                <w:rFonts w:ascii="Century Gothic" w:hAnsi="Century Gothic"/>
                <w:color w:val="FF0000"/>
                <w:sz w:val="20"/>
                <w:szCs w:val="20"/>
              </w:rPr>
              <w:t>Nie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snapToGrid w:val="0"/>
              <w:jc w:val="both"/>
              <w:rPr>
                <w:rFonts w:ascii="Century Gothic" w:hAnsi="Century Gothic"/>
                <w:sz w:val="20"/>
                <w:szCs w:val="20"/>
              </w:rPr>
            </w:pPr>
            <w:r w:rsidRPr="00915CAA">
              <w:rPr>
                <w:rFonts w:ascii="Century Gothic" w:hAnsi="Century Gothic"/>
                <w:sz w:val="20"/>
                <w:szCs w:val="20"/>
              </w:rPr>
              <w:t>Czujnik zmian ciśnienia w linii , wykrywający wzrost i spadek , bez konieczności użycia specjalnych drenów</w:t>
            </w:r>
            <w:r w:rsidR="002D5F76">
              <w:rPr>
                <w:rFonts w:ascii="Century Gothic" w:hAnsi="Century Gothic"/>
                <w:sz w:val="20"/>
                <w:szCs w:val="20"/>
              </w:rPr>
              <w:t xml:space="preserve"> </w:t>
            </w:r>
            <w:r w:rsidR="002D5F76" w:rsidRPr="002D5F76">
              <w:rPr>
                <w:rFonts w:ascii="Century Gothic" w:hAnsi="Century Gothic"/>
                <w:color w:val="FF0000"/>
                <w:sz w:val="20"/>
                <w:szCs w:val="20"/>
              </w:rPr>
              <w:t xml:space="preserve">lub </w:t>
            </w:r>
            <w:r w:rsidR="002D5F76" w:rsidRPr="002D5F76">
              <w:rPr>
                <w:rFonts w:ascii="Century Gothic" w:hAnsi="Century Gothic"/>
                <w:color w:val="FF0000"/>
                <w:sz w:val="20"/>
                <w:szCs w:val="20"/>
                <w:lang w:eastAsia="pl-PL"/>
              </w:rPr>
              <w:t>system dynamicznego ciągłego pomiaru ciśnienia (</w:t>
            </w:r>
            <w:r w:rsidR="002D5F76">
              <w:rPr>
                <w:rFonts w:ascii="Century Gothic" w:hAnsi="Century Gothic"/>
                <w:color w:val="FF0000"/>
                <w:sz w:val="20"/>
                <w:szCs w:val="20"/>
                <w:lang w:eastAsia="pl-PL"/>
              </w:rPr>
              <w:t xml:space="preserve">np. </w:t>
            </w:r>
            <w:r w:rsidR="002D5F76" w:rsidRPr="002D5F76">
              <w:rPr>
                <w:rFonts w:ascii="Century Gothic" w:hAnsi="Century Gothic"/>
                <w:color w:val="FF0000"/>
                <w:sz w:val="20"/>
                <w:szCs w:val="20"/>
                <w:lang w:eastAsia="pl-PL"/>
              </w:rPr>
              <w:t>DPS – Dynamic Pressure System) w linii , stale monitorujący jego wartość  bez konieczności użycia  specjalnych drenów</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Tak – 1 pkt</w:t>
            </w:r>
          </w:p>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Nie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FC7DB0">
            <w:pPr>
              <w:snapToGrid w:val="0"/>
              <w:jc w:val="both"/>
              <w:rPr>
                <w:rFonts w:ascii="Century Gothic" w:hAnsi="Century Gothic"/>
                <w:sz w:val="20"/>
                <w:szCs w:val="20"/>
              </w:rPr>
            </w:pPr>
            <w:r w:rsidRPr="00915CAA">
              <w:rPr>
                <w:rFonts w:ascii="Century Gothic" w:hAnsi="Century Gothic"/>
                <w:sz w:val="20"/>
                <w:szCs w:val="20"/>
              </w:rPr>
              <w:t>Pobór mocy przez pompę [Wat]</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ED2776">
            <w:pPr>
              <w:tabs>
                <w:tab w:val="left" w:pos="225"/>
                <w:tab w:val="center" w:pos="813"/>
              </w:tabs>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Najmniejszy-3 pkt,</w:t>
            </w:r>
          </w:p>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Pozostałe – 0 pky</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Default="00A03535" w:rsidP="00841E67">
            <w:pPr>
              <w:snapToGrid w:val="0"/>
              <w:jc w:val="both"/>
              <w:rPr>
                <w:rFonts w:ascii="Century Gothic" w:hAnsi="Century Gothic"/>
                <w:sz w:val="20"/>
                <w:szCs w:val="20"/>
              </w:rPr>
            </w:pPr>
            <w:r w:rsidRPr="00915CAA">
              <w:rPr>
                <w:rFonts w:ascii="Century Gothic" w:hAnsi="Century Gothic"/>
                <w:sz w:val="20"/>
                <w:szCs w:val="20"/>
              </w:rPr>
              <w:t>Możliwość pracy pompy w trybie płynnego, automatycznego przejęcia infuzji przez drugą pompę, natychmiast po zakończeniu infuzji w pierwszej</w:t>
            </w:r>
          </w:p>
          <w:p w:rsidR="007A577E" w:rsidRPr="007A577E" w:rsidRDefault="007A577E" w:rsidP="00841E67">
            <w:pPr>
              <w:snapToGrid w:val="0"/>
              <w:jc w:val="both"/>
              <w:rPr>
                <w:rFonts w:ascii="Century Gothic" w:hAnsi="Century Gothic"/>
                <w:sz w:val="20"/>
                <w:szCs w:val="20"/>
              </w:rPr>
            </w:pPr>
            <w:r w:rsidRPr="007A577E">
              <w:rPr>
                <w:rFonts w:ascii="Century Gothic" w:hAnsi="Century Gothic"/>
                <w:color w:val="FF0000"/>
                <w:sz w:val="20"/>
                <w:szCs w:val="20"/>
              </w:rPr>
              <w:t xml:space="preserve">Uwaga - </w:t>
            </w:r>
            <w:r w:rsidRPr="007A577E">
              <w:rPr>
                <w:rFonts w:ascii="Century Gothic" w:hAnsi="Century Gothic"/>
                <w:color w:val="FF0000"/>
                <w:sz w:val="20"/>
                <w:szCs w:val="20"/>
                <w:lang w:eastAsia="pl-PL"/>
              </w:rPr>
              <w:t>Zamawiający uznaje za wystarczające spełnienie parametru płynnego przejęcia infuzji przez drugą pompę, pozostawioną w gotowości z włączoną funkcją stand-by bez limitu czasowego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Tak-1 pkt</w:t>
            </w:r>
          </w:p>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Nie-0pkt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FC7DB0">
            <w:pPr>
              <w:snapToGrid w:val="0"/>
              <w:jc w:val="both"/>
              <w:rPr>
                <w:rFonts w:ascii="Century Gothic" w:hAnsi="Century Gothic"/>
                <w:sz w:val="20"/>
                <w:szCs w:val="20"/>
              </w:rPr>
            </w:pPr>
            <w:r w:rsidRPr="00915CAA">
              <w:rPr>
                <w:rFonts w:ascii="Century Gothic" w:hAnsi="Century Gothic"/>
                <w:sz w:val="20"/>
                <w:szCs w:val="20"/>
              </w:rPr>
              <w:t xml:space="preserve">Objętość zajmowana przez pojedynczą pompę [cm3]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ED2776">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Najmniejsza – 1 pkt, pozostałe -0 pkt</w:t>
            </w:r>
          </w:p>
        </w:tc>
      </w:tr>
      <w:tr w:rsidR="00A03535" w:rsidRPr="00915CAA" w:rsidTr="000829D4">
        <w:tc>
          <w:tcPr>
            <w:tcW w:w="14567" w:type="dxa"/>
            <w:gridSpan w:val="5"/>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color w:val="FF0000"/>
                <w:sz w:val="20"/>
                <w:szCs w:val="20"/>
              </w:rPr>
            </w:pPr>
            <w:r w:rsidRPr="00915CAA">
              <w:rPr>
                <w:rFonts w:ascii="Century Gothic" w:hAnsi="Century Gothic"/>
                <w:sz w:val="20"/>
                <w:szCs w:val="20"/>
              </w:rPr>
              <w:t>Pompy strzykawkowe (biblioteka leków, pomiar w linii) – 65 szt.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604CB">
            <w:pPr>
              <w:snapToGrid w:val="0"/>
              <w:jc w:val="both"/>
              <w:rPr>
                <w:rFonts w:ascii="Century Gothic" w:hAnsi="Century Gothic"/>
                <w:sz w:val="20"/>
                <w:szCs w:val="20"/>
              </w:rPr>
            </w:pPr>
            <w:r w:rsidRPr="00915CAA">
              <w:rPr>
                <w:rFonts w:ascii="Century Gothic" w:hAnsi="Century Gothic"/>
                <w:sz w:val="20"/>
                <w:szCs w:val="20"/>
              </w:rPr>
              <w:t>Oferowane urządzenia muszą spełniać normę                  EN 60601-1 Klasa II, typ CF</w:t>
            </w:r>
            <w:r w:rsidR="00DE0E2E">
              <w:rPr>
                <w:rFonts w:ascii="Century Gothic" w:hAnsi="Century Gothic"/>
                <w:sz w:val="20"/>
                <w:szCs w:val="20"/>
              </w:rPr>
              <w:t xml:space="preserve"> </w:t>
            </w:r>
            <w:r w:rsidR="00DE0E2E" w:rsidRPr="00DE0E2E">
              <w:rPr>
                <w:rFonts w:ascii="Century Gothic" w:hAnsi="Century Gothic"/>
                <w:color w:val="FF0000"/>
                <w:sz w:val="20"/>
                <w:szCs w:val="20"/>
              </w:rPr>
              <w:t xml:space="preserve">lub </w:t>
            </w:r>
            <w:r w:rsidR="00DE0E2E" w:rsidRPr="00DE0E2E">
              <w:rPr>
                <w:rFonts w:ascii="Century Gothic" w:hAnsi="Century Gothic"/>
                <w:color w:val="FF0000"/>
                <w:sz w:val="20"/>
                <w:szCs w:val="20"/>
                <w:lang w:eastAsia="pl-PL"/>
              </w:rPr>
              <w:t>spełniające normy EN 60601-1, typ CF w pierwszej klasie bezpieczeństwa elektrycznego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E3E15">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604CB">
            <w:pPr>
              <w:snapToGrid w:val="0"/>
              <w:jc w:val="both"/>
              <w:rPr>
                <w:rFonts w:ascii="Century Gothic" w:hAnsi="Century Gothic"/>
                <w:sz w:val="20"/>
                <w:szCs w:val="20"/>
              </w:rPr>
            </w:pPr>
            <w:r w:rsidRPr="00915CAA">
              <w:rPr>
                <w:rFonts w:ascii="Century Gothic" w:hAnsi="Century Gothic"/>
                <w:sz w:val="20"/>
                <w:szCs w:val="20"/>
              </w:rPr>
              <w:t>Zabezpieczenie pompy przed przypadkowym zalaniem układów mechaniki i elektroniki, podać stopień ochrony IP – wymagany nie mniej niż IP 22</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A2A8E">
            <w:pPr>
              <w:snapToGrid w:val="0"/>
              <w:jc w:val="both"/>
              <w:rPr>
                <w:rFonts w:ascii="Century Gothic" w:hAnsi="Century Gothic"/>
                <w:sz w:val="20"/>
                <w:szCs w:val="20"/>
              </w:rPr>
            </w:pPr>
            <w:r w:rsidRPr="00915CAA">
              <w:rPr>
                <w:rFonts w:ascii="Century Gothic" w:hAnsi="Century Gothic"/>
                <w:sz w:val="20"/>
                <w:szCs w:val="20"/>
              </w:rPr>
              <w:t xml:space="preserve">Zasilanie 220-240 V AC, 50 Hz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Bateria o krótkim czasie ładowania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1E50F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wymiany akumulatora przez użytkownika bez użycia specjalnych narzędzi i wykonywania przeglądu technicznego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F54DB0">
            <w:pPr>
              <w:snapToGrid w:val="0"/>
              <w:jc w:val="both"/>
              <w:rPr>
                <w:rFonts w:ascii="Century Gothic" w:hAnsi="Century Gothic"/>
                <w:sz w:val="20"/>
                <w:szCs w:val="20"/>
              </w:rPr>
            </w:pPr>
            <w:r w:rsidRPr="00915CAA">
              <w:rPr>
                <w:rFonts w:ascii="Century Gothic" w:hAnsi="Century Gothic"/>
                <w:sz w:val="20"/>
                <w:szCs w:val="20"/>
              </w:rPr>
              <w:t>Czas pracy pompy przy zasilaniu akumulatorowym, dla szybkości dozowania 5 ml/godz. nie mniej niż 5 godzin</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1 pkt za najdłuższy czas,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Niezależny wskaźnik stanu naładowania akumulatora pompy wyświetlający poziom naładowania/rozładowania akumulatora. Wskaźnik przedstawiać ma użytkownikowi orientacyjny poziom naładowania/rozładowania akumulatora w danej chwili, dlatego Zamawiający  dopuszcza prezentację tego parametru w stanie włączenia jak i wyłączenia pompy. Zamawiający nie dopuszcza prezentacji stanu naładowania /rozładowania akumulatora w trybie serwisowym</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t>TAK – Podać opis</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Wbudowany, nie demontowany uchwyt ułatwiający przenoszenie pompy lub uchwyt montowany dodatkowo (dla 20% pomp)</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457F86" w:rsidP="002454E8">
            <w:pPr>
              <w:snapToGrid w:val="0"/>
              <w:jc w:val="center"/>
              <w:rPr>
                <w:rFonts w:ascii="Century Gothic" w:hAnsi="Century Gothic"/>
                <w:sz w:val="20"/>
                <w:szCs w:val="20"/>
              </w:rPr>
            </w:pPr>
            <w:r>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trike/>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Zatrzaskowy sposób mocowania pompy w stacji dokującej</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Manualne mocowanie w pompie lub mechaniczne mocowanie strzykawki w pompie</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457F86" w:rsidP="002454E8">
            <w:pPr>
              <w:snapToGrid w:val="0"/>
              <w:jc w:val="center"/>
              <w:rPr>
                <w:rFonts w:ascii="Century Gothic" w:hAnsi="Century Gothic"/>
                <w:sz w:val="20"/>
                <w:szCs w:val="20"/>
              </w:rPr>
            </w:pPr>
            <w:r>
              <w:rPr>
                <w:rFonts w:ascii="Century Gothic" w:hAnsi="Century Gothic"/>
                <w:sz w:val="20"/>
                <w:szCs w:val="20"/>
              </w:rPr>
              <w:t xml:space="preserve">Tak, </w:t>
            </w:r>
            <w:r w:rsidR="00A03535"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F54DB0">
            <w:pPr>
              <w:snapToGrid w:val="0"/>
              <w:jc w:val="center"/>
              <w:rPr>
                <w:rFonts w:ascii="Century Gothic" w:hAnsi="Century Gothic"/>
                <w:sz w:val="20"/>
                <w:szCs w:val="20"/>
              </w:rPr>
            </w:pPr>
            <w:r w:rsidRPr="00915CAA">
              <w:rPr>
                <w:rFonts w:ascii="Century Gothic" w:hAnsi="Century Gothic"/>
                <w:sz w:val="20"/>
                <w:szCs w:val="20"/>
              </w:rPr>
              <w:t>0 pkt za manualne mocowanie w pompie; 2 pkt za mechaniczne mocowanie strzykawki w pompie</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Montaż strzykawki od czoła pompy infuzyjnej</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Ustawianie parametrów infuzji za pomocą klawiatury strzałkowej lub symbolicznej</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2D5F76" w:rsidRDefault="00A03535" w:rsidP="002454E8">
            <w:pPr>
              <w:snapToGrid w:val="0"/>
              <w:jc w:val="both"/>
              <w:rPr>
                <w:rFonts w:ascii="Century Gothic" w:hAnsi="Century Gothic"/>
                <w:b/>
                <w:color w:val="FF0000"/>
                <w:sz w:val="20"/>
                <w:szCs w:val="20"/>
              </w:rPr>
            </w:pPr>
            <w:r w:rsidRPr="00915CAA">
              <w:rPr>
                <w:rFonts w:ascii="Century Gothic" w:hAnsi="Century Gothic"/>
                <w:sz w:val="20"/>
                <w:szCs w:val="20"/>
              </w:rPr>
              <w:t>Wbudowany interfejs do dwustronnej komunikacji z systemem zarządzającym infuzją oraz innym pompami</w:t>
            </w:r>
            <w:r w:rsidR="002D5F76">
              <w:rPr>
                <w:rFonts w:ascii="Century Gothic" w:hAnsi="Century Gothic"/>
                <w:color w:val="FF0000"/>
                <w:sz w:val="20"/>
                <w:szCs w:val="20"/>
              </w:rPr>
              <w:t xml:space="preserve"> lub rozwiązanie </w:t>
            </w:r>
            <w:r w:rsidR="002D5F76" w:rsidRPr="002D5F76">
              <w:rPr>
                <w:rFonts w:ascii="Century Gothic" w:hAnsi="Century Gothic"/>
                <w:color w:val="FF0000"/>
                <w:sz w:val="20"/>
                <w:szCs w:val="20"/>
              </w:rPr>
              <w:t xml:space="preserve">bez </w:t>
            </w:r>
            <w:r w:rsidR="002D5F76" w:rsidRPr="002D5F76">
              <w:rPr>
                <w:rFonts w:ascii="Century Gothic" w:hAnsi="Century Gothic"/>
                <w:color w:val="FF0000"/>
                <w:sz w:val="20"/>
                <w:szCs w:val="20"/>
                <w:lang w:eastAsia="pl-PL"/>
              </w:rPr>
              <w:t>możliwości komunikacji dwustronnej pomiędzy poszczególnymi pompami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Ciężar urządzenia </w:t>
            </w:r>
            <w:r w:rsidR="002D5F76">
              <w:rPr>
                <w:rFonts w:ascii="Century Gothic" w:hAnsi="Century Gothic"/>
                <w:color w:val="FF0000"/>
                <w:sz w:val="20"/>
                <w:szCs w:val="20"/>
              </w:rPr>
              <w:t xml:space="preserve">(pompy) </w:t>
            </w:r>
            <w:r w:rsidRPr="00915CAA">
              <w:rPr>
                <w:rFonts w:ascii="Century Gothic" w:hAnsi="Century Gothic"/>
                <w:sz w:val="20"/>
                <w:szCs w:val="20"/>
              </w:rPr>
              <w:t xml:space="preserve">w [kg] nie więcej niż 2,4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rPr>
                <w:rFonts w:ascii="Century Gothic" w:hAnsi="Century Gothic"/>
                <w:sz w:val="20"/>
                <w:szCs w:val="20"/>
              </w:rPr>
            </w:pPr>
            <w:r w:rsidRPr="00915CAA">
              <w:rPr>
                <w:rFonts w:ascii="Century Gothic" w:hAnsi="Century Gothic"/>
                <w:sz w:val="20"/>
                <w:szCs w:val="20"/>
              </w:rPr>
              <w:t>1 pkt – za najniższy ciężar ,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450701">
            <w:pPr>
              <w:snapToGrid w:val="0"/>
              <w:jc w:val="both"/>
              <w:rPr>
                <w:rFonts w:ascii="Century Gothic" w:hAnsi="Century Gothic"/>
                <w:sz w:val="20"/>
                <w:szCs w:val="20"/>
              </w:rPr>
            </w:pPr>
            <w:r w:rsidRPr="00915CAA">
              <w:rPr>
                <w:rFonts w:ascii="Century Gothic" w:hAnsi="Century Gothic"/>
                <w:sz w:val="20"/>
                <w:szCs w:val="20"/>
              </w:rPr>
              <w:t>Duży, czytelny wyświetlacz wbudowany w pompie, z szerokim kątem widzenia z każdej strony, o największej powierzchni (cm2)</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457F86" w:rsidP="002454E8">
            <w:pPr>
              <w:snapToGrid w:val="0"/>
              <w:jc w:val="center"/>
              <w:rPr>
                <w:rFonts w:ascii="Century Gothic" w:hAnsi="Century Gothic"/>
                <w:sz w:val="20"/>
                <w:szCs w:val="20"/>
              </w:rPr>
            </w:pPr>
            <w:r>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Rejestr 24 godzinny, umożliwiający przegląd 24 godzinnego rejestru objętości płynów podanych we wlewie</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Praca ze strzykawkami o pojemności minimum od 5 do 50/60 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r w:rsidR="00457F86">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DB61BA">
            <w:pPr>
              <w:snapToGrid w:val="0"/>
              <w:jc w:val="both"/>
              <w:rPr>
                <w:rFonts w:ascii="Century Gothic" w:hAnsi="Century Gothic"/>
                <w:sz w:val="20"/>
                <w:szCs w:val="20"/>
              </w:rPr>
            </w:pPr>
            <w:r w:rsidRPr="00915CAA">
              <w:rPr>
                <w:rFonts w:ascii="Century Gothic" w:hAnsi="Century Gothic"/>
                <w:sz w:val="20"/>
                <w:szCs w:val="20"/>
              </w:rPr>
              <w:t>Dodatkowa praca ze strzykawkami 2/3 ml – 1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Zakres szybkości przepływu w zakresie nie mniejszym niż od 0,1 do 1200 ml/godz dla strzykawki 50 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r w:rsidR="00457F86">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A3477E">
            <w:pPr>
              <w:snapToGrid w:val="0"/>
              <w:jc w:val="both"/>
              <w:rPr>
                <w:rFonts w:ascii="Century Gothic" w:hAnsi="Century Gothic"/>
                <w:sz w:val="20"/>
                <w:szCs w:val="20"/>
              </w:rPr>
            </w:pPr>
            <w:r w:rsidRPr="00915CAA">
              <w:rPr>
                <w:rFonts w:ascii="Century Gothic" w:hAnsi="Century Gothic"/>
                <w:sz w:val="20"/>
                <w:szCs w:val="20"/>
              </w:rPr>
              <w:t xml:space="preserve">0,5 pkt za najwyższą prędkość, 0 pkt za </w:t>
            </w:r>
            <w:r w:rsidRPr="00915CAA">
              <w:rPr>
                <w:rFonts w:ascii="Century Gothic" w:hAnsi="Century Gothic"/>
                <w:sz w:val="20"/>
                <w:szCs w:val="20"/>
              </w:rPr>
              <w:lastRenderedPageBreak/>
              <w:t>pozostałe</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Objętość infuzji w zakresie nie mniejszym niż 0,1 do 999 ml</w:t>
            </w:r>
          </w:p>
          <w:p w:rsidR="00A03535" w:rsidRPr="00915CAA" w:rsidRDefault="00A03535" w:rsidP="002454E8">
            <w:pPr>
              <w:snapToGrid w:val="0"/>
              <w:jc w:val="both"/>
              <w:rPr>
                <w:rFonts w:ascii="Century Gothic" w:hAnsi="Century Gothic"/>
                <w:sz w:val="20"/>
                <w:szCs w:val="20"/>
              </w:rPr>
            </w:pP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Dokładność systemu przy szybkości 1 ml/godz i powyżej –    ( ± 3%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r w:rsidR="00457F86">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DB61BA">
            <w:pPr>
              <w:snapToGrid w:val="0"/>
              <w:jc w:val="center"/>
              <w:rPr>
                <w:rFonts w:ascii="Century Gothic" w:hAnsi="Century Gothic"/>
                <w:sz w:val="20"/>
                <w:szCs w:val="20"/>
              </w:rPr>
            </w:pPr>
            <w:r w:rsidRPr="00915CAA">
              <w:rPr>
                <w:rFonts w:ascii="Century Gothic" w:hAnsi="Century Gothic"/>
                <w:sz w:val="20"/>
                <w:szCs w:val="20"/>
              </w:rPr>
              <w:t>Najwyższa dokładność – 1 pkt. Pozostałe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pracy co najmniej w następujących trybach : tylko szybkość dozowania w ml/godz; szybkość dozowania + objętość infuzji do podania; objętość do podania + czas podaży</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automatyczne wyliczanie prędkości podaży)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programowania infuzji w jednostkach masy: ng,  μg, mg, g, mmol, mU, U, kcal, mEq , –  na kg masy ciała pacjenta lub nie, na czas (na </w:t>
            </w:r>
            <w:r w:rsidR="00DE10E6">
              <w:rPr>
                <w:rFonts w:ascii="Century Gothic" w:hAnsi="Century Gothic"/>
                <w:sz w:val="20"/>
                <w:szCs w:val="20"/>
              </w:rPr>
              <w:t xml:space="preserve">24godziny, godzinę oraz minutę) </w:t>
            </w:r>
            <w:r w:rsidR="00DE10E6" w:rsidRPr="00DE10E6">
              <w:rPr>
                <w:rFonts w:ascii="Century Gothic" w:hAnsi="Century Gothic"/>
                <w:color w:val="FF0000"/>
                <w:sz w:val="20"/>
                <w:szCs w:val="20"/>
              </w:rPr>
              <w:t>lub</w:t>
            </w:r>
            <w:r w:rsidR="00DE10E6">
              <w:rPr>
                <w:rFonts w:ascii="Century Gothic" w:hAnsi="Century Gothic"/>
                <w:color w:val="FF0000"/>
                <w:sz w:val="20"/>
                <w:szCs w:val="20"/>
              </w:rPr>
              <w:t xml:space="preserve"> </w:t>
            </w:r>
            <w:r w:rsidR="00DE10E6" w:rsidRPr="00DE10E6">
              <w:rPr>
                <w:rFonts w:ascii="Century Gothic" w:hAnsi="Century Gothic"/>
                <w:color w:val="FF0000"/>
                <w:sz w:val="20"/>
                <w:szCs w:val="20"/>
                <w:lang w:eastAsia="pl-PL"/>
              </w:rPr>
              <w:t>pompy infuzyjne z programowaniem parametrów infuzji w jednostkach: ml, ng, μg, mg, g, mU, U, kU, mmol z uwzględnieniem wagi pacjenta lub nie na min, godz oraz 24 godz</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Dozowanie w jednostkach masy w stosunku do czasu infuzji oraz w jednostkach masy w stosunku od ciężaru ciała pacjenta i czasu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Dozowanie z prędkością wyliczoną na podstawie objętości i czasu, w którym dawka ma być podana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wyboru trybów pracy po zakończeniu infuzji minimum: zatrzymanie infuzji, tryb KVO (utrzymanie drożności wlewu/naczynia), kontynuacja infuzji z poprzednią prędkością</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Tryb BOLUS z podaniem dawki uderzeniowej bez zatrzymania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wypełnienia drenu z prędkością regulowaną w zakresie 100 – 500 ml/h, z za</w:t>
            </w:r>
            <w:r w:rsidR="002D5F76">
              <w:rPr>
                <w:rFonts w:ascii="Century Gothic" w:hAnsi="Century Gothic"/>
                <w:sz w:val="20"/>
                <w:szCs w:val="20"/>
              </w:rPr>
              <w:t xml:space="preserve">kresem objetosci od 0,5 do 5 ml </w:t>
            </w:r>
            <w:r w:rsidR="002D5F76" w:rsidRPr="002D5F76">
              <w:rPr>
                <w:rFonts w:ascii="Century Gothic" w:hAnsi="Century Gothic"/>
                <w:color w:val="FF0000"/>
                <w:sz w:val="20"/>
                <w:szCs w:val="20"/>
              </w:rPr>
              <w:t xml:space="preserve">lub </w:t>
            </w:r>
            <w:r w:rsidR="002D5F76" w:rsidRPr="002D5F76">
              <w:rPr>
                <w:rFonts w:ascii="Century Gothic" w:hAnsi="Century Gothic"/>
                <w:color w:val="FF0000"/>
                <w:sz w:val="20"/>
                <w:szCs w:val="20"/>
                <w:lang w:eastAsia="pl-PL"/>
              </w:rPr>
              <w:t>funkcja wypełnienia drenu z prędkością  1200ml/h  z zakresem objętości od 0,1 do 5ml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szybkiego startu – do automatycznego kasowania luzów między mechanizmem tłoka a strzykawką podczas rozpoczynania wlewu</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„back off” – automatycznego wycofania tłoka celem redukcji objętości bolusa w pełnym zakresie, po zwolnieniu okluzji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DB61BA">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wypełnienia drenu z prędkością regulowaną w zakresie 100 – 500 ml/h, z zakrese</w:t>
            </w:r>
            <w:r w:rsidR="002D5F76">
              <w:rPr>
                <w:rFonts w:ascii="Century Gothic" w:hAnsi="Century Gothic"/>
                <w:sz w:val="20"/>
                <w:szCs w:val="20"/>
              </w:rPr>
              <w:t xml:space="preserve">m objętości min. od 0,5 do 5 ml </w:t>
            </w:r>
            <w:r w:rsidR="002D5F76" w:rsidRPr="002D5F76">
              <w:rPr>
                <w:rFonts w:ascii="Century Gothic" w:hAnsi="Century Gothic"/>
                <w:color w:val="FF0000"/>
                <w:sz w:val="20"/>
                <w:szCs w:val="20"/>
              </w:rPr>
              <w:t xml:space="preserve">lub </w:t>
            </w:r>
            <w:r w:rsidR="002D5F76" w:rsidRPr="002D5F76">
              <w:rPr>
                <w:rFonts w:ascii="Century Gothic" w:hAnsi="Century Gothic"/>
                <w:color w:val="FF0000"/>
                <w:sz w:val="20"/>
                <w:szCs w:val="20"/>
                <w:lang w:eastAsia="pl-PL"/>
              </w:rPr>
              <w:t>pompa z   funkcją wypełnienia drenu z prędkością  1200ml/h  z zakresem objętości od 0,1 do 5ml</w:t>
            </w:r>
            <w:r w:rsidRPr="002D5F76">
              <w:rPr>
                <w:rFonts w:ascii="Century Gothic" w:hAnsi="Century Gothic"/>
                <w:color w:val="FF0000"/>
                <w:sz w:val="20"/>
                <w:szCs w:val="20"/>
              </w:rPr>
              <w:tab/>
            </w:r>
            <w:r w:rsidRPr="002D5F76">
              <w:rPr>
                <w:rFonts w:ascii="Century Gothic" w:hAnsi="Century Gothic"/>
                <w:color w:val="FF0000"/>
                <w:sz w:val="20"/>
                <w:szCs w:val="20"/>
              </w:rPr>
              <w:tab/>
            </w:r>
            <w:r w:rsidRPr="00915CAA">
              <w:rPr>
                <w:rFonts w:ascii="Century Gothic" w:hAnsi="Century Gothic"/>
                <w:sz w:val="20"/>
                <w:szCs w:val="20"/>
              </w:rPr>
              <w:tab/>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D5F76">
            <w:pPr>
              <w:snapToGrid w:val="0"/>
              <w:jc w:val="both"/>
              <w:rPr>
                <w:rFonts w:ascii="Century Gothic" w:hAnsi="Century Gothic"/>
                <w:sz w:val="20"/>
                <w:szCs w:val="20"/>
              </w:rPr>
            </w:pPr>
            <w:r w:rsidRPr="00915CAA">
              <w:rPr>
                <w:rFonts w:ascii="Century Gothic" w:hAnsi="Century Gothic"/>
                <w:sz w:val="20"/>
                <w:szCs w:val="20"/>
              </w:rPr>
              <w:t xml:space="preserve">Podział leków w bibliotece na profile (rodzaj pacjenta lub oddział/pododdział) z możliwością umieszczenia tego samego leku w różnych profilach – minimum </w:t>
            </w:r>
            <w:r w:rsidRPr="002D5F76">
              <w:rPr>
                <w:rFonts w:ascii="Century Gothic" w:hAnsi="Century Gothic"/>
                <w:strike/>
                <w:color w:val="FF0000"/>
                <w:sz w:val="20"/>
                <w:szCs w:val="20"/>
              </w:rPr>
              <w:t>20</w:t>
            </w:r>
            <w:r w:rsidRPr="00915CAA">
              <w:rPr>
                <w:rFonts w:ascii="Century Gothic" w:hAnsi="Century Gothic"/>
                <w:sz w:val="20"/>
                <w:szCs w:val="20"/>
              </w:rPr>
              <w:t xml:space="preserve"> </w:t>
            </w:r>
            <w:r w:rsidR="002D5F76" w:rsidRPr="002D5F76">
              <w:rPr>
                <w:rFonts w:ascii="Century Gothic" w:hAnsi="Century Gothic"/>
                <w:color w:val="FF0000"/>
                <w:sz w:val="20"/>
                <w:szCs w:val="20"/>
              </w:rPr>
              <w:t xml:space="preserve">19 </w:t>
            </w:r>
            <w:r w:rsidRPr="00915CAA">
              <w:rPr>
                <w:rFonts w:ascii="Century Gothic" w:hAnsi="Century Gothic"/>
                <w:sz w:val="20"/>
                <w:szCs w:val="20"/>
              </w:rPr>
              <w:t>profili</w:t>
            </w:r>
            <w:r w:rsidR="002D5F76">
              <w:rPr>
                <w:rFonts w:ascii="Century Gothic" w:hAnsi="Century Gothic"/>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modyfikacji przez Użytkownika wybranego protokołu lekowego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BA1E21">
            <w:pPr>
              <w:snapToGrid w:val="0"/>
              <w:jc w:val="both"/>
              <w:rPr>
                <w:rFonts w:ascii="Century Gothic" w:hAnsi="Century Gothic"/>
                <w:sz w:val="20"/>
                <w:szCs w:val="20"/>
              </w:rPr>
            </w:pPr>
            <w:r w:rsidRPr="00915CAA">
              <w:rPr>
                <w:rFonts w:ascii="Century Gothic" w:hAnsi="Century Gothic"/>
                <w:sz w:val="20"/>
                <w:szCs w:val="20"/>
              </w:rPr>
              <w:t>Możliwość ustawienia minimalnych i maksymalnych limitów twardych, których nie można przekroczyć  i limitów miękkich, które po zatwierdzeniu można przekroczyć dla protokołów dawkowania w bibliotece leków</w:t>
            </w:r>
            <w:r w:rsidR="00BA1E21">
              <w:rPr>
                <w:rFonts w:ascii="Century Gothic" w:hAnsi="Century Gothic"/>
                <w:sz w:val="20"/>
                <w:szCs w:val="20"/>
              </w:rPr>
              <w:t xml:space="preserve"> </w:t>
            </w:r>
            <w:r w:rsidR="00BA1E21" w:rsidRPr="00BA1E21">
              <w:rPr>
                <w:rFonts w:ascii="Century Gothic" w:hAnsi="Century Gothic"/>
                <w:color w:val="FF0000"/>
                <w:sz w:val="20"/>
                <w:szCs w:val="20"/>
              </w:rPr>
              <w:t xml:space="preserve">lub </w:t>
            </w:r>
            <w:r w:rsidR="00BA1E21" w:rsidRPr="00BA1E21">
              <w:rPr>
                <w:rFonts w:ascii="Century Gothic" w:hAnsi="Century Gothic"/>
                <w:color w:val="FF0000"/>
                <w:sz w:val="20"/>
                <w:szCs w:val="20"/>
                <w:lang w:eastAsia="pl-PL"/>
              </w:rPr>
              <w:t>możliwość ustawienia minimalnych i maksymalnych limitów miękkich, które po zatwierdzeniu można przekroczyć dla protokołów dawkowania leków w bibliotece leków oraz maksymalnych limitów twardych, których nie można przekroczyć,</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E428C1">
            <w:pPr>
              <w:snapToGrid w:val="0"/>
              <w:jc w:val="center"/>
              <w:rPr>
                <w:rFonts w:ascii="Century Gothic" w:hAnsi="Century Gothic"/>
                <w:sz w:val="20"/>
                <w:szCs w:val="20"/>
              </w:rPr>
            </w:pPr>
            <w:r w:rsidRPr="00915CAA">
              <w:rPr>
                <w:rFonts w:ascii="Century Gothic" w:hAnsi="Century Gothic"/>
                <w:sz w:val="20"/>
                <w:szCs w:val="20"/>
              </w:rPr>
              <w:t>Tak – 1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zaprogramowania parametrów infuzji dla pacjenta o ciężarze w zakresie od poniżej 500 gramów do minimalnie 250 kg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równoczesnego wyświetlenia na ekranie pompy nazwy leków zawierające największą możliwą liczbę znaków z dużymi literami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F37854">
            <w:pPr>
              <w:snapToGrid w:val="0"/>
              <w:jc w:val="both"/>
              <w:rPr>
                <w:rFonts w:ascii="Century Gothic" w:hAnsi="Century Gothic"/>
                <w:sz w:val="20"/>
                <w:szCs w:val="20"/>
              </w:rPr>
            </w:pPr>
            <w:r w:rsidRPr="00915CAA">
              <w:rPr>
                <w:rFonts w:ascii="Century Gothic" w:hAnsi="Century Gothic"/>
                <w:sz w:val="20"/>
                <w:szCs w:val="20"/>
              </w:rPr>
              <w:t>Bezpośredni pomiar ciśnienia w linii infuzyjnej (z użyciem lub bez użycia specjalnych drenów)</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CF2FE4">
            <w:pPr>
              <w:snapToGrid w:val="0"/>
              <w:jc w:val="center"/>
              <w:rPr>
                <w:rFonts w:ascii="Century Gothic" w:hAnsi="Century Gothic"/>
                <w:sz w:val="20"/>
                <w:szCs w:val="20"/>
              </w:rPr>
            </w:pPr>
            <w:r w:rsidRPr="00915CAA">
              <w:rPr>
                <w:rFonts w:ascii="Century Gothic" w:hAnsi="Century Gothic"/>
                <w:sz w:val="20"/>
                <w:szCs w:val="20"/>
              </w:rPr>
              <w:t>Tak – 5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Wskaźnik wielkości okluzji, ustawianie granicy ciśnienia okluzji przed jak i w czasie infuzji bez jej przerywania, alarmy okluzji w zakresie nie mniejszym niż od 50 do 1000 mmHg (+/-20%)</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Ustawienie poziomu ciśnienia okluzji min. 9 poziomach.</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r w:rsidR="00457F86">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eastAsia="Batang" w:hAnsi="Century Gothic"/>
                <w:color w:val="FF0000"/>
                <w:sz w:val="20"/>
                <w:szCs w:val="20"/>
              </w:rPr>
            </w:pPr>
          </w:p>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color w:val="FF0000"/>
                <w:sz w:val="20"/>
                <w:szCs w:val="20"/>
              </w:rPr>
            </w:pPr>
            <w:r w:rsidRPr="00915CAA">
              <w:rPr>
                <w:rFonts w:ascii="Century Gothic" w:hAnsi="Century Gothic"/>
                <w:sz w:val="20"/>
                <w:szCs w:val="20"/>
              </w:rPr>
              <w:t xml:space="preserve">&gt;15 poziomów 1 pkt;  pozostałe 0 pkt </w:t>
            </w:r>
          </w:p>
          <w:p w:rsidR="00A03535" w:rsidRPr="00915CAA" w:rsidRDefault="00A03535" w:rsidP="002454E8">
            <w:pPr>
              <w:snapToGrid w:val="0"/>
              <w:jc w:val="center"/>
              <w:rPr>
                <w:rFonts w:ascii="Century Gothic" w:hAnsi="Century Gothic"/>
                <w:sz w:val="20"/>
                <w:szCs w:val="20"/>
              </w:rPr>
            </w:pP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color w:val="FF0000"/>
                <w:sz w:val="20"/>
                <w:szCs w:val="20"/>
              </w:rPr>
            </w:pPr>
            <w:r w:rsidRPr="00915CAA">
              <w:rPr>
                <w:rFonts w:ascii="Century Gothic" w:hAnsi="Century Gothic"/>
                <w:sz w:val="20"/>
                <w:szCs w:val="20"/>
              </w:rPr>
              <w:t>Prezentacja trendów ciśnienia, wyświetlanych na ekranie pompy lub wskazanie aktualnego ciśnienia w linii w czasie rzeczywistym</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Czytelny wyświetlacz z możliwością wyświetlania min następujących informacji :</w:t>
            </w:r>
          </w:p>
          <w:p w:rsidR="00A03535" w:rsidRPr="00915CAA" w:rsidRDefault="00A03535" w:rsidP="002454E8">
            <w:pPr>
              <w:snapToGrid w:val="0"/>
              <w:jc w:val="both"/>
              <w:rPr>
                <w:rFonts w:ascii="Century Gothic" w:hAnsi="Century Gothic"/>
                <w:sz w:val="20"/>
                <w:szCs w:val="20"/>
              </w:rPr>
            </w:pP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Nazwa leku</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Prędkość infuzji</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Informacja o trwającej infuzji  w postaci piktogramu lub alfanumerycznych zapisów</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Czas pozostały do końca infuzji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Informacja o stanie naładowania akumulatora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Graficzny obraz stanu ciśnienia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Bez pkt</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Funkcja Stand-By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pracy pompy w systemie zarządzającym infuzjami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Dwustopniowe zróżnicowane akustyczne i optyczne (wizualne)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Okluzji z zatrzymaniem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427259">
            <w:pPr>
              <w:snapToGrid w:val="0"/>
              <w:jc w:val="both"/>
              <w:rPr>
                <w:rFonts w:ascii="Century Gothic" w:hAnsi="Century Gothic"/>
                <w:sz w:val="20"/>
                <w:szCs w:val="20"/>
              </w:rPr>
            </w:pPr>
            <w:r w:rsidRPr="00915CAA">
              <w:rPr>
                <w:rFonts w:ascii="Century Gothic" w:hAnsi="Century Gothic"/>
                <w:sz w:val="20"/>
                <w:szCs w:val="20"/>
              </w:rPr>
              <w:t xml:space="preserve">Bliskiego końca infuzji z możliwością regulacji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427259">
            <w:pPr>
              <w:snapToGrid w:val="0"/>
              <w:jc w:val="both"/>
              <w:rPr>
                <w:rFonts w:ascii="Century Gothic" w:hAnsi="Century Gothic"/>
                <w:sz w:val="20"/>
                <w:szCs w:val="20"/>
              </w:rPr>
            </w:pPr>
            <w:r w:rsidRPr="00915CAA">
              <w:rPr>
                <w:rFonts w:ascii="Century Gothic" w:hAnsi="Century Gothic"/>
                <w:sz w:val="20"/>
                <w:szCs w:val="20"/>
              </w:rPr>
              <w:t xml:space="preserve">Końca infuzji,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 przejściu w tryb KVO, zatrzymania lub kontynuacji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Złego zamocowania strzykawki lub w przypadku napędu automatycznego – komunikat nieznana strzykawka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D5F76">
            <w:pPr>
              <w:snapToGrid w:val="0"/>
              <w:jc w:val="both"/>
              <w:rPr>
                <w:rFonts w:ascii="Century Gothic" w:hAnsi="Century Gothic"/>
                <w:sz w:val="20"/>
                <w:szCs w:val="20"/>
              </w:rPr>
            </w:pPr>
            <w:r w:rsidRPr="00915CAA">
              <w:rPr>
                <w:rFonts w:ascii="Century Gothic" w:hAnsi="Century Gothic"/>
                <w:sz w:val="20"/>
                <w:szCs w:val="20"/>
              </w:rPr>
              <w:t>Rozładowania baterii – na 30 minut przed jej wyczerpaniem</w:t>
            </w:r>
            <w:r w:rsidR="002D5F76">
              <w:rPr>
                <w:rFonts w:ascii="Century Gothic" w:hAnsi="Century Gothic"/>
                <w:sz w:val="20"/>
                <w:szCs w:val="20"/>
              </w:rPr>
              <w:t xml:space="preserve"> </w:t>
            </w:r>
            <w:r w:rsidR="002D5F76" w:rsidRPr="002D5F76">
              <w:rPr>
                <w:rFonts w:ascii="Century Gothic" w:hAnsi="Century Gothic"/>
                <w:color w:val="FF0000"/>
                <w:sz w:val="20"/>
                <w:szCs w:val="20"/>
              </w:rPr>
              <w:t xml:space="preserve">lub </w:t>
            </w:r>
            <w:r w:rsidR="002D5F76" w:rsidRPr="002D5F76">
              <w:rPr>
                <w:rFonts w:ascii="Century Gothic" w:hAnsi="Century Gothic"/>
                <w:color w:val="FF0000"/>
                <w:sz w:val="20"/>
                <w:szCs w:val="20"/>
                <w:lang w:eastAsia="pl-PL"/>
              </w:rPr>
              <w:t>pompa z  wstępnym alarmem rozładowania akumulatora  w trybie średniego priorytetu oraz alarmem rozładowania akumulatora – na 5  minut  przed jego wyczerpaniem w trybie wysokiego priorytetu  alarmu</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Rozładowania baterii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Sygnalizacja wahań ciśnienia w linii. Pozwalająca przewidzieć niebezpieczeństwo pojawienia się okluzji lub nieszczelności</w:t>
            </w:r>
          </w:p>
          <w:p w:rsidR="00A03535" w:rsidRPr="00915CAA" w:rsidRDefault="00A03535" w:rsidP="002454E8">
            <w:pPr>
              <w:snapToGrid w:val="0"/>
              <w:jc w:val="both"/>
              <w:rPr>
                <w:rFonts w:ascii="Century Gothic" w:hAnsi="Century Gothic"/>
                <w:sz w:val="20"/>
                <w:szCs w:val="20"/>
              </w:rPr>
            </w:pP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CF2FE4">
            <w:pPr>
              <w:snapToGrid w:val="0"/>
              <w:jc w:val="center"/>
              <w:rPr>
                <w:rFonts w:ascii="Century Gothic" w:hAnsi="Century Gothic"/>
                <w:sz w:val="20"/>
                <w:szCs w:val="20"/>
              </w:rPr>
            </w:pPr>
            <w:r w:rsidRPr="00915CAA">
              <w:rPr>
                <w:rFonts w:ascii="Century Gothic" w:hAnsi="Century Gothic"/>
                <w:sz w:val="20"/>
                <w:szCs w:val="20"/>
              </w:rPr>
              <w:t>Tak 0,5 pkt; nie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Bolus-min 2 rodzaje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-Bezpośredni - szybkości podaży 50 – 1200 ml/h,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-Programowany - dawka lub objętość/czas: 0,1-99,9 jednostek / 0,1  - 1200 ml, automatyczne wyliczenie czasu </w:t>
            </w:r>
          </w:p>
          <w:p w:rsidR="00A03535" w:rsidRDefault="00A03535" w:rsidP="002454E8">
            <w:pPr>
              <w:snapToGrid w:val="0"/>
              <w:jc w:val="both"/>
              <w:rPr>
                <w:rFonts w:ascii="Century Gothic" w:hAnsi="Century Gothic"/>
                <w:sz w:val="20"/>
                <w:szCs w:val="20"/>
              </w:rPr>
            </w:pPr>
            <w:r w:rsidRPr="00915CAA">
              <w:rPr>
                <w:rFonts w:ascii="Century Gothic" w:hAnsi="Century Gothic"/>
                <w:sz w:val="20"/>
                <w:szCs w:val="20"/>
              </w:rPr>
              <w:t>- manualne przesunięcie tłoka strzykawki z funkcją zliczania i prezentacji podanej objętości na ek</w:t>
            </w:r>
            <w:r w:rsidR="00A91767">
              <w:rPr>
                <w:rFonts w:ascii="Century Gothic" w:hAnsi="Century Gothic"/>
                <w:sz w:val="20"/>
                <w:szCs w:val="20"/>
              </w:rPr>
              <w:t>ranie urządzenia lub :</w:t>
            </w:r>
          </w:p>
          <w:p w:rsidR="00A91767" w:rsidRPr="00A91767" w:rsidRDefault="00A91767" w:rsidP="002454E8">
            <w:pPr>
              <w:snapToGrid w:val="0"/>
              <w:jc w:val="both"/>
              <w:rPr>
                <w:rFonts w:ascii="Century Gothic" w:hAnsi="Century Gothic"/>
                <w:color w:val="FF0000"/>
                <w:sz w:val="20"/>
                <w:szCs w:val="20"/>
              </w:rPr>
            </w:pPr>
            <w:r w:rsidRPr="00A91767">
              <w:rPr>
                <w:rFonts w:ascii="Century Gothic" w:hAnsi="Century Gothic"/>
                <w:color w:val="FF0000"/>
                <w:sz w:val="20"/>
                <w:szCs w:val="20"/>
                <w:lang w:eastAsia="pl-PL"/>
              </w:rPr>
              <w:t>3 rodzaje bolusa w tym programowany z zakresem objętości/dawki od 0,01 do 25 ml z automatycznym wyliczaniem czasu</w:t>
            </w:r>
          </w:p>
          <w:p w:rsidR="00A03535" w:rsidRPr="00915CAA" w:rsidRDefault="00A03535" w:rsidP="002454E8">
            <w:pPr>
              <w:snapToGrid w:val="0"/>
              <w:jc w:val="both"/>
              <w:rPr>
                <w:rFonts w:ascii="Century Gothic" w:hAnsi="Century Gothic"/>
                <w:sz w:val="20"/>
                <w:szCs w:val="20"/>
              </w:rPr>
            </w:pPr>
          </w:p>
          <w:p w:rsidR="00A03535" w:rsidRPr="00915CAA" w:rsidRDefault="00A03535" w:rsidP="002454E8">
            <w:pPr>
              <w:snapToGrid w:val="0"/>
              <w:jc w:val="both"/>
              <w:rPr>
                <w:rFonts w:ascii="Century Gothic" w:hAnsi="Century Gothic"/>
                <w:sz w:val="20"/>
                <w:szCs w:val="20"/>
              </w:rPr>
            </w:pP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r w:rsidR="00457F86">
              <w:rPr>
                <w:rFonts w:ascii="Century Gothic" w:hAnsi="Century Gothic"/>
                <w:sz w:val="20"/>
                <w:szCs w:val="20"/>
              </w:rPr>
              <w:t>,</w:t>
            </w:r>
            <w:r w:rsidRPr="00915CAA">
              <w:rPr>
                <w:rFonts w:ascii="Century Gothic" w:hAnsi="Century Gothic"/>
                <w:sz w:val="20"/>
                <w:szCs w:val="20"/>
              </w:rPr>
              <w:t xml:space="preserve"> podać </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3 rodzaje bolusa 0,5 pkt.</w:t>
            </w:r>
          </w:p>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=&lt;2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eastAsia="Batang" w:hAnsi="Century Gothic"/>
                <w:color w:val="FF0000"/>
                <w:sz w:val="20"/>
                <w:szCs w:val="20"/>
              </w:rPr>
            </w:pPr>
            <w:r w:rsidRPr="00915CAA">
              <w:rPr>
                <w:rFonts w:ascii="Century Gothic" w:hAnsi="Century Gothic"/>
                <w:sz w:val="20"/>
                <w:szCs w:val="20"/>
              </w:rPr>
              <w:t>Możliwość łączenie i zasilania jednym przewodem pompy w moduły min po 2 pompy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891F00">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91F00">
            <w:pPr>
              <w:snapToGrid w:val="0"/>
              <w:jc w:val="both"/>
              <w:rPr>
                <w:rFonts w:ascii="Century Gothic" w:eastAsia="Batang" w:hAnsi="Century Gothic"/>
                <w:color w:val="FF0000"/>
                <w:sz w:val="20"/>
                <w:szCs w:val="20"/>
              </w:rPr>
            </w:pPr>
            <w:r w:rsidRPr="00915CAA">
              <w:rPr>
                <w:rFonts w:ascii="Century Gothic" w:hAnsi="Century Gothic"/>
                <w:sz w:val="20"/>
                <w:szCs w:val="20"/>
              </w:rPr>
              <w:t xml:space="preserve">Mechanizm blokujący tłok zapobiegający samoczynnemu opróżnianiu strzykawki,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1 pkt</w:t>
            </w:r>
          </w:p>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Nie 0 pkt</w:t>
            </w:r>
          </w:p>
        </w:tc>
      </w:tr>
      <w:tr w:rsidR="002B13BD" w:rsidRPr="00915CAA" w:rsidTr="00457F86">
        <w:tc>
          <w:tcPr>
            <w:tcW w:w="675" w:type="dxa"/>
            <w:tcBorders>
              <w:top w:val="single" w:sz="4" w:space="0" w:color="auto"/>
              <w:left w:val="single" w:sz="4" w:space="0" w:color="auto"/>
              <w:bottom w:val="single" w:sz="4" w:space="0" w:color="auto"/>
              <w:right w:val="single" w:sz="4" w:space="0" w:color="auto"/>
            </w:tcBorders>
          </w:tcPr>
          <w:p w:rsidR="002B13BD" w:rsidRPr="00915CAA" w:rsidRDefault="002B13BD"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bookmarkStart w:id="0" w:name="_GoBack" w:colFirst="4" w:colLast="4"/>
          </w:p>
        </w:tc>
        <w:tc>
          <w:tcPr>
            <w:tcW w:w="5387" w:type="dxa"/>
            <w:tcBorders>
              <w:top w:val="single" w:sz="4" w:space="0" w:color="auto"/>
              <w:left w:val="single" w:sz="4" w:space="0" w:color="auto"/>
              <w:bottom w:val="single" w:sz="4" w:space="0" w:color="auto"/>
              <w:right w:val="single" w:sz="4" w:space="0" w:color="auto"/>
            </w:tcBorders>
          </w:tcPr>
          <w:p w:rsidR="002B13BD" w:rsidRPr="00915CAA" w:rsidRDefault="002B13BD" w:rsidP="00710248">
            <w:pPr>
              <w:snapToGrid w:val="0"/>
              <w:jc w:val="both"/>
              <w:rPr>
                <w:rFonts w:ascii="Century Gothic" w:eastAsia="Batang" w:hAnsi="Century Gothic"/>
                <w:color w:val="FF0000"/>
                <w:sz w:val="20"/>
                <w:szCs w:val="20"/>
              </w:rPr>
            </w:pPr>
            <w:r w:rsidRPr="00915CAA">
              <w:rPr>
                <w:rFonts w:ascii="Century Gothic" w:hAnsi="Century Gothic"/>
                <w:sz w:val="20"/>
                <w:szCs w:val="20"/>
              </w:rPr>
              <w:t>Funkcja programowania czasu infuzji przynajmniej od min. 1– 96 godzin</w:t>
            </w:r>
          </w:p>
        </w:tc>
        <w:tc>
          <w:tcPr>
            <w:tcW w:w="1559" w:type="dxa"/>
            <w:tcBorders>
              <w:top w:val="single" w:sz="4" w:space="0" w:color="auto"/>
              <w:left w:val="single" w:sz="4" w:space="0" w:color="auto"/>
              <w:bottom w:val="single" w:sz="4" w:space="0" w:color="auto"/>
              <w:right w:val="single" w:sz="4" w:space="0" w:color="auto"/>
            </w:tcBorders>
          </w:tcPr>
          <w:p w:rsidR="002B13BD" w:rsidRDefault="002B13BD">
            <w:pPr>
              <w:snapToGrid w:val="0"/>
              <w:jc w:val="center"/>
              <w:rPr>
                <w:rFonts w:ascii="Century Gothic" w:hAnsi="Century Gothic"/>
                <w:color w:val="FF0000"/>
                <w:sz w:val="20"/>
                <w:szCs w:val="20"/>
                <w:lang w:eastAsia="en-US"/>
              </w:rPr>
            </w:pPr>
            <w:r>
              <w:rPr>
                <w:rFonts w:ascii="Century Gothic" w:hAnsi="Century Gothic"/>
                <w:color w:val="FF0000"/>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2B13BD" w:rsidRDefault="002B13BD">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2B13BD" w:rsidRDefault="002B13BD" w:rsidP="002B13BD">
            <w:pPr>
              <w:snapToGrid w:val="0"/>
              <w:jc w:val="center"/>
              <w:rPr>
                <w:rFonts w:ascii="Century Gothic" w:hAnsi="Century Gothic" w:cstheme="minorBidi"/>
                <w:color w:val="FF0000"/>
                <w:sz w:val="20"/>
                <w:szCs w:val="20"/>
              </w:rPr>
            </w:pPr>
            <w:r>
              <w:rPr>
                <w:rFonts w:ascii="Century Gothic" w:hAnsi="Century Gothic"/>
                <w:color w:val="FF0000"/>
                <w:sz w:val="20"/>
                <w:szCs w:val="20"/>
              </w:rPr>
              <w:t>Tak 0,5 pkt</w:t>
            </w:r>
          </w:p>
          <w:p w:rsidR="002B13BD" w:rsidRDefault="002B13BD" w:rsidP="002B13BD">
            <w:pPr>
              <w:jc w:val="center"/>
              <w:rPr>
                <w:rFonts w:ascii="Century Gothic" w:hAnsi="Century Gothic"/>
                <w:color w:val="FF0000"/>
                <w:sz w:val="20"/>
                <w:szCs w:val="20"/>
                <w:lang w:eastAsia="en-US"/>
              </w:rPr>
            </w:pPr>
            <w:r>
              <w:rPr>
                <w:rFonts w:ascii="Century Gothic" w:hAnsi="Century Gothic"/>
                <w:color w:val="FF0000"/>
                <w:sz w:val="20"/>
                <w:szCs w:val="20"/>
              </w:rPr>
              <w:t>Nie 0 pkt</w:t>
            </w:r>
          </w:p>
        </w:tc>
      </w:tr>
      <w:bookmarkEnd w:id="0"/>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Czujnik zmian ciśnienia w linii , wykrywający wzrost i spadek , bez konieczności użycia specjalnych drenów</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1 pkt</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color w:val="FF0000"/>
                <w:sz w:val="20"/>
                <w:szCs w:val="20"/>
              </w:rPr>
            </w:pPr>
            <w:r w:rsidRPr="00915CAA">
              <w:rPr>
                <w:rFonts w:ascii="Century Gothic" w:hAnsi="Century Gothic"/>
                <w:sz w:val="20"/>
                <w:szCs w:val="20"/>
              </w:rPr>
              <w:t>Pobór mocy przez pompę [Wat]</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color w:val="FF0000"/>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snapToGrid w:val="0"/>
              <w:jc w:val="both"/>
              <w:rPr>
                <w:rFonts w:ascii="Century Gothic" w:hAnsi="Century Gothic"/>
                <w:sz w:val="20"/>
                <w:szCs w:val="20"/>
              </w:rPr>
            </w:pPr>
            <w:r w:rsidRPr="00915CAA">
              <w:rPr>
                <w:rFonts w:ascii="Century Gothic" w:hAnsi="Century Gothic"/>
                <w:sz w:val="20"/>
                <w:szCs w:val="20"/>
              </w:rPr>
              <w:t>Najmniejszy-3 pkt,</w:t>
            </w:r>
          </w:p>
          <w:p w:rsidR="00A03535" w:rsidRPr="00915CAA" w:rsidRDefault="00A03535" w:rsidP="007C682C">
            <w:pPr>
              <w:snapToGrid w:val="0"/>
              <w:jc w:val="both"/>
              <w:rPr>
                <w:rFonts w:ascii="Century Gothic" w:hAnsi="Century Gothic"/>
                <w:color w:val="FF0000"/>
                <w:sz w:val="20"/>
                <w:szCs w:val="20"/>
              </w:rPr>
            </w:pPr>
            <w:r w:rsidRPr="00915CAA">
              <w:rPr>
                <w:rFonts w:ascii="Century Gothic" w:hAnsi="Century Gothic"/>
                <w:sz w:val="20"/>
                <w:szCs w:val="20"/>
              </w:rPr>
              <w:t>Pozostałe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pracy pompy w trybie płynnego, automatycznego przejęcia infuzji przez drugą pompę, natychmiast po zakończeniu infuzji w pierwszej</w:t>
            </w:r>
          </w:p>
          <w:p w:rsidR="007A577E" w:rsidRPr="00915CAA" w:rsidRDefault="007A577E" w:rsidP="002454E8">
            <w:pPr>
              <w:snapToGrid w:val="0"/>
              <w:jc w:val="both"/>
              <w:rPr>
                <w:rFonts w:ascii="Century Gothic" w:hAnsi="Century Gothic"/>
                <w:color w:val="FF0000"/>
                <w:sz w:val="20"/>
                <w:szCs w:val="20"/>
              </w:rPr>
            </w:pPr>
            <w:r w:rsidRPr="007A577E">
              <w:rPr>
                <w:rFonts w:ascii="Century Gothic" w:hAnsi="Century Gothic"/>
                <w:color w:val="FF0000"/>
                <w:sz w:val="20"/>
                <w:szCs w:val="20"/>
              </w:rPr>
              <w:t xml:space="preserve">Uwaga - </w:t>
            </w:r>
            <w:r w:rsidRPr="007A577E">
              <w:rPr>
                <w:rFonts w:ascii="Century Gothic" w:hAnsi="Century Gothic"/>
                <w:color w:val="FF0000"/>
                <w:sz w:val="20"/>
                <w:szCs w:val="20"/>
                <w:lang w:eastAsia="pl-PL"/>
              </w:rPr>
              <w:t xml:space="preserve">Zamawiający uznaje za wystarczające spełnienie parametru płynnego przejęcia infuzji przez drugą pompę, pozostawioną w gotowości z </w:t>
            </w:r>
            <w:r w:rsidRPr="007A577E">
              <w:rPr>
                <w:rFonts w:ascii="Century Gothic" w:hAnsi="Century Gothic"/>
                <w:color w:val="FF0000"/>
                <w:sz w:val="20"/>
                <w:szCs w:val="20"/>
                <w:lang w:eastAsia="pl-PL"/>
              </w:rPr>
              <w:lastRenderedPageBreak/>
              <w:t>włączoną funkcją stand-by bez limitu czasowego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color w:val="FF0000"/>
                <w:sz w:val="20"/>
                <w:szCs w:val="20"/>
              </w:rPr>
            </w:pPr>
            <w:r w:rsidRPr="00915CAA">
              <w:rPr>
                <w:rFonts w:ascii="Century Gothic" w:hAnsi="Century Gothic"/>
                <w:sz w:val="20"/>
                <w:szCs w:val="20"/>
              </w:rPr>
              <w:lastRenderedPageBreak/>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snapToGrid w:val="0"/>
              <w:jc w:val="both"/>
              <w:rPr>
                <w:rFonts w:ascii="Century Gothic" w:hAnsi="Century Gothic"/>
                <w:sz w:val="20"/>
                <w:szCs w:val="20"/>
              </w:rPr>
            </w:pPr>
            <w:r w:rsidRPr="00915CAA">
              <w:rPr>
                <w:rFonts w:ascii="Century Gothic" w:hAnsi="Century Gothic"/>
                <w:sz w:val="20"/>
                <w:szCs w:val="20"/>
              </w:rPr>
              <w:t>Tak-1 pkt</w:t>
            </w:r>
          </w:p>
          <w:p w:rsidR="00A03535" w:rsidRPr="00915CAA" w:rsidRDefault="00A03535" w:rsidP="002454E8">
            <w:pPr>
              <w:snapToGrid w:val="0"/>
              <w:jc w:val="both"/>
              <w:rPr>
                <w:rFonts w:ascii="Century Gothic" w:hAnsi="Century Gothic"/>
                <w:color w:val="FF0000"/>
                <w:sz w:val="20"/>
                <w:szCs w:val="20"/>
              </w:rPr>
            </w:pPr>
            <w:r w:rsidRPr="00915CAA">
              <w:rPr>
                <w:rFonts w:ascii="Century Gothic" w:hAnsi="Century Gothic"/>
                <w:sz w:val="20"/>
                <w:szCs w:val="20"/>
              </w:rPr>
              <w:t>Nie-0pkt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color w:val="FF0000"/>
                <w:sz w:val="20"/>
                <w:szCs w:val="20"/>
              </w:rPr>
            </w:pPr>
            <w:r w:rsidRPr="00915CAA">
              <w:rPr>
                <w:rFonts w:ascii="Century Gothic" w:hAnsi="Century Gothic"/>
                <w:sz w:val="20"/>
                <w:szCs w:val="20"/>
              </w:rPr>
              <w:t xml:space="preserve">Objętość zajmowana przez pojedynczą pompę [cm3]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color w:val="FF0000"/>
                <w:sz w:val="20"/>
                <w:szCs w:val="20"/>
              </w:rPr>
            </w:pPr>
            <w:r w:rsidRPr="00915CAA">
              <w:rPr>
                <w:rFonts w:ascii="Century Gothic" w:hAnsi="Century Gothic"/>
                <w:sz w:val="20"/>
                <w:szCs w:val="20"/>
              </w:rPr>
              <w:t>Tak</w:t>
            </w:r>
            <w:r w:rsidR="00457F86">
              <w:rPr>
                <w:rFonts w:ascii="Century Gothic" w:hAnsi="Century Gothic"/>
                <w:sz w:val="20"/>
                <w:szCs w:val="20"/>
              </w:rPr>
              <w:t>,</w:t>
            </w:r>
            <w:r w:rsidRPr="00915CAA">
              <w:rPr>
                <w:rFonts w:ascii="Century Gothic" w:hAnsi="Century Gothic"/>
                <w:sz w:val="20"/>
                <w:szCs w:val="20"/>
              </w:rPr>
              <w:t xml:space="preserve">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22EA4">
            <w:pPr>
              <w:snapToGrid w:val="0"/>
              <w:jc w:val="both"/>
              <w:rPr>
                <w:rFonts w:ascii="Century Gothic" w:hAnsi="Century Gothic"/>
                <w:color w:val="FF0000"/>
                <w:sz w:val="20"/>
                <w:szCs w:val="20"/>
              </w:rPr>
            </w:pPr>
            <w:r w:rsidRPr="00915CAA">
              <w:rPr>
                <w:rFonts w:ascii="Century Gothic" w:hAnsi="Century Gothic"/>
                <w:sz w:val="20"/>
                <w:szCs w:val="20"/>
              </w:rPr>
              <w:t>Najmniejsza – 1 pkt,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13892" w:type="dxa"/>
            <w:gridSpan w:val="4"/>
            <w:tcBorders>
              <w:top w:val="single" w:sz="4" w:space="0" w:color="auto"/>
              <w:left w:val="single" w:sz="4" w:space="0" w:color="auto"/>
              <w:bottom w:val="single" w:sz="4" w:space="0" w:color="auto"/>
              <w:right w:val="single" w:sz="4" w:space="0" w:color="auto"/>
            </w:tcBorders>
            <w:vAlign w:val="center"/>
          </w:tcPr>
          <w:p w:rsidR="00A03535" w:rsidRPr="00915CAA" w:rsidRDefault="00A03535" w:rsidP="00457F86">
            <w:pPr>
              <w:snapToGrid w:val="0"/>
              <w:jc w:val="center"/>
              <w:rPr>
                <w:rFonts w:ascii="Century Gothic" w:hAnsi="Century Gothic"/>
                <w:color w:val="FF0000"/>
                <w:sz w:val="20"/>
                <w:szCs w:val="20"/>
              </w:rPr>
            </w:pPr>
            <w:r w:rsidRPr="00915CAA">
              <w:rPr>
                <w:rFonts w:ascii="Century Gothic" w:hAnsi="Century Gothic"/>
                <w:sz w:val="20"/>
                <w:szCs w:val="20"/>
              </w:rPr>
              <w:t>pompy objętościowe  (biblioteka leków) - 261 szt.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Oferowane urządzenia muszą spełniać normę                  EN 60601-1 Klasa II, typ CF</w:t>
            </w:r>
            <w:r w:rsidR="00DE0E2E">
              <w:rPr>
                <w:rFonts w:ascii="Century Gothic" w:hAnsi="Century Gothic"/>
                <w:sz w:val="20"/>
                <w:szCs w:val="20"/>
              </w:rPr>
              <w:t xml:space="preserve"> </w:t>
            </w:r>
            <w:r w:rsidR="00DE0E2E" w:rsidRPr="00DE0E2E">
              <w:rPr>
                <w:rFonts w:ascii="Century Gothic" w:hAnsi="Century Gothic"/>
                <w:color w:val="FF0000"/>
                <w:sz w:val="20"/>
                <w:szCs w:val="20"/>
              </w:rPr>
              <w:t xml:space="preserve">lub </w:t>
            </w:r>
            <w:r w:rsidR="00DE0E2E" w:rsidRPr="00DE0E2E">
              <w:rPr>
                <w:rFonts w:ascii="Century Gothic" w:hAnsi="Century Gothic"/>
                <w:color w:val="FF0000"/>
                <w:sz w:val="20"/>
                <w:szCs w:val="20"/>
                <w:lang w:eastAsia="pl-PL"/>
              </w:rPr>
              <w:t>spełniające normy EN 60601-1, typ CF w pierwszej klasie bezpieczeństwa elektrycznego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Zabezpieczenie pompy przed przypadkowym zalaniem układów mechaniki i elektroniki, podać stopień ochrony IP – wymagany nie mniej niż IP 22</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457F86" w:rsidP="002454E8">
            <w:pPr>
              <w:snapToGrid w:val="0"/>
              <w:jc w:val="center"/>
              <w:rPr>
                <w:rFonts w:ascii="Century Gothic" w:hAnsi="Century Gothic"/>
                <w:sz w:val="20"/>
                <w:szCs w:val="20"/>
              </w:rPr>
            </w:pPr>
            <w:r>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0,2 pkt. Za najwyższy stopień IP,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E53CD1">
            <w:pPr>
              <w:snapToGrid w:val="0"/>
              <w:jc w:val="both"/>
              <w:rPr>
                <w:rFonts w:ascii="Century Gothic" w:hAnsi="Century Gothic"/>
                <w:sz w:val="20"/>
                <w:szCs w:val="20"/>
              </w:rPr>
            </w:pPr>
            <w:r w:rsidRPr="00915CAA">
              <w:rPr>
                <w:rFonts w:ascii="Century Gothic" w:hAnsi="Century Gothic"/>
                <w:sz w:val="20"/>
                <w:szCs w:val="20"/>
              </w:rPr>
              <w:t>Pompa objętościowa do dożylnej podaży leków i płynów, krwi i produktów krwiopochodnych.</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rPr>
                <w:rFonts w:ascii="Century Gothic" w:hAnsi="Century Gothic"/>
                <w:sz w:val="20"/>
                <w:szCs w:val="20"/>
              </w:rPr>
            </w:pPr>
            <w:r w:rsidRPr="00915CAA">
              <w:rPr>
                <w:rFonts w:ascii="Century Gothic" w:hAnsi="Century Gothic"/>
                <w:sz w:val="20"/>
                <w:szCs w:val="20"/>
              </w:rPr>
              <w:t xml:space="preserve">Dodatkowo żywienia </w:t>
            </w:r>
            <w:r w:rsidRPr="007B6850">
              <w:rPr>
                <w:rFonts w:ascii="Century Gothic" w:hAnsi="Century Gothic"/>
                <w:strike/>
                <w:color w:val="FF0000"/>
                <w:sz w:val="20"/>
                <w:szCs w:val="20"/>
              </w:rPr>
              <w:t>pozajelitowego</w:t>
            </w:r>
            <w:r w:rsidRPr="00915CAA">
              <w:rPr>
                <w:rFonts w:ascii="Century Gothic" w:hAnsi="Century Gothic"/>
                <w:sz w:val="20"/>
                <w:szCs w:val="20"/>
              </w:rPr>
              <w:t xml:space="preserve"> </w:t>
            </w:r>
            <w:r w:rsidR="007B6850" w:rsidRPr="007B6850">
              <w:rPr>
                <w:rFonts w:ascii="Century Gothic" w:hAnsi="Century Gothic"/>
                <w:color w:val="FF0000"/>
                <w:sz w:val="20"/>
                <w:szCs w:val="20"/>
              </w:rPr>
              <w:t>dojelitowego</w:t>
            </w:r>
            <w:r w:rsidR="007B6850">
              <w:rPr>
                <w:rFonts w:ascii="Century Gothic" w:hAnsi="Century Gothic"/>
                <w:sz w:val="20"/>
                <w:szCs w:val="20"/>
              </w:rPr>
              <w:t xml:space="preserve"> </w:t>
            </w:r>
            <w:r w:rsidRPr="00915CAA">
              <w:rPr>
                <w:rFonts w:ascii="Century Gothic" w:hAnsi="Century Gothic"/>
                <w:sz w:val="20"/>
                <w:szCs w:val="20"/>
              </w:rPr>
              <w:t>– 1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Zabezpieczenie przed swobodnym przepływem niezależnie w pompie i w drenie</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Automatycznie uruchamiana blokada swobodnego przepływu w drenie po otwarciu drzwiczek pompy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Zasilanie 220-240 V AC, 50 Hz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Domylnie"/>
              <w:jc w:val="center"/>
              <w:rPr>
                <w:rFonts w:ascii="Century Gothic" w:hAnsi="Century Gothic"/>
                <w:sz w:val="20"/>
                <w:szCs w:val="20"/>
              </w:rPr>
            </w:pP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Niezależny wskaźnik stanu naładowania akumulatora pompy wyświetlający poziom naładowania/rozładowania akumulatora. Wskaźnik przedstawiać ma użytkownikowi orientacyjny poziom naładowania/rozładowania akumulatora w danej chwili, dlatego Zamawiający  dopuszcza prezentację tego parametru w stanie włączenia jak i wyłączenia pompy. Zamawiający nie dopuszcza prezentacji </w:t>
            </w:r>
            <w:r w:rsidRPr="00915CAA">
              <w:rPr>
                <w:rFonts w:ascii="Century Gothic" w:hAnsi="Century Gothic"/>
                <w:sz w:val="20"/>
                <w:szCs w:val="20"/>
              </w:rPr>
              <w:lastRenderedPageBreak/>
              <w:t>stanu naładowania /rozładowania akumulatora w trybie serwisowym</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lastRenderedPageBreak/>
              <w:t>TAK – podać opis</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Czas pracy pompy przy zasilaniu akumulatorowym, dla szybkości dozowania 25 ml/godz. nie mniej niż 5 godzin</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0,5 pkt za najdłuższy czas,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Dokładność podaży objętościowa min. ± 5%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uppressAutoHyphens w:val="0"/>
              <w:spacing w:after="200" w:line="276" w:lineRule="auto"/>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Bateria o krótkim czasie ładowania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Domylnie"/>
              <w:jc w:val="center"/>
              <w:rPr>
                <w:rFonts w:ascii="Century Gothic" w:hAnsi="Century Gothic"/>
                <w:kern w:val="2"/>
                <w:sz w:val="20"/>
                <w:szCs w:val="20"/>
                <w:lang w:val="pl-PL" w:eastAsia="ar-SA"/>
              </w:rPr>
            </w:pPr>
            <w:r w:rsidRPr="00915CAA">
              <w:rPr>
                <w:rFonts w:ascii="Century Gothic" w:hAnsi="Century Gothic"/>
                <w:kern w:val="2"/>
                <w:sz w:val="20"/>
                <w:szCs w:val="20"/>
                <w:lang w:val="pl-PL" w:eastAsia="ar-SA"/>
              </w:rPr>
              <w:t>TAK</w:t>
            </w:r>
          </w:p>
          <w:p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wymiany akumulatora przez użytkownika bez użycia specjalnych narzędzi i wykonywania przeglądu technicznego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C31BAB">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STAND-BY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blokady ustawienia prędkości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Wbudowany w pompie, system mocowania na szynie medycznej oraz na masztach infuzyjnych bez dodatkowo montowanych uchwytów lub z dodatkowo montowanymi uchwytami. (20% pomp)</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D74B9E" w:rsidP="002454E8">
            <w:pPr>
              <w:snapToGrid w:val="0"/>
              <w:jc w:val="center"/>
              <w:rPr>
                <w:rFonts w:ascii="Century Gothic" w:hAnsi="Century Gothic"/>
                <w:sz w:val="20"/>
                <w:szCs w:val="20"/>
              </w:rPr>
            </w:pPr>
            <w:r>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trike/>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Wbudowany, nie demontowany uchwyt ułatwiający przenoszenie pompy lub uchwyt montowany dodatkowo (w przypadku demontowanego dla 20% pomp)</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trike/>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Dla pomp posiadających zasilacz zewnętrzny, zasilacze dla 20% pomp.</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trike/>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Zatrzaskowy system mocowania do stacji dokującej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Wbudowany interfejs z systemem dwustronnej komunikacji z systemem zarządzającym infuzją oraz </w:t>
            </w:r>
            <w:r w:rsidRPr="00915CAA">
              <w:rPr>
                <w:rFonts w:ascii="Century Gothic" w:hAnsi="Century Gothic"/>
                <w:sz w:val="20"/>
                <w:szCs w:val="20"/>
              </w:rPr>
              <w:lastRenderedPageBreak/>
              <w:t>innym pompami</w:t>
            </w:r>
            <w:r w:rsidR="002D5F76">
              <w:rPr>
                <w:rFonts w:ascii="Century Gothic" w:hAnsi="Century Gothic"/>
                <w:sz w:val="20"/>
                <w:szCs w:val="20"/>
              </w:rPr>
              <w:t xml:space="preserve"> </w:t>
            </w:r>
            <w:r w:rsidR="002D5F76" w:rsidRPr="002D5F76">
              <w:rPr>
                <w:rFonts w:ascii="Century Gothic" w:hAnsi="Century Gothic"/>
                <w:color w:val="FF0000"/>
                <w:sz w:val="20"/>
                <w:szCs w:val="20"/>
              </w:rPr>
              <w:t xml:space="preserve">lub rozwiązanie bez </w:t>
            </w:r>
            <w:r w:rsidR="002D5F76" w:rsidRPr="002D5F76">
              <w:rPr>
                <w:rFonts w:ascii="Century Gothic" w:hAnsi="Century Gothic"/>
                <w:color w:val="FF0000"/>
                <w:sz w:val="20"/>
                <w:szCs w:val="20"/>
                <w:lang w:eastAsia="pl-PL"/>
              </w:rPr>
              <w:t>możliwości komunikacji dwustronnej pomiędzy poszczególnymi pompami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Ciężar urządzenia [kg]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D74B9E" w:rsidP="002454E8">
            <w:pPr>
              <w:snapToGrid w:val="0"/>
              <w:jc w:val="center"/>
              <w:rPr>
                <w:rFonts w:ascii="Century Gothic" w:hAnsi="Century Gothic"/>
                <w:sz w:val="20"/>
                <w:szCs w:val="20"/>
              </w:rPr>
            </w:pPr>
            <w:r>
              <w:rPr>
                <w:rFonts w:ascii="Century Gothic" w:hAnsi="Century Gothic"/>
                <w:sz w:val="20"/>
                <w:szCs w:val="20"/>
              </w:rPr>
              <w:t>Tak, n</w:t>
            </w:r>
            <w:r w:rsidR="00A03535" w:rsidRPr="00915CAA">
              <w:rPr>
                <w:rFonts w:ascii="Century Gothic" w:hAnsi="Century Gothic"/>
                <w:sz w:val="20"/>
                <w:szCs w:val="20"/>
              </w:rPr>
              <w:t xml:space="preserve">ie więcej niż </w:t>
            </w:r>
            <w:r w:rsidR="00A03535" w:rsidRPr="0081747F">
              <w:rPr>
                <w:rFonts w:ascii="Century Gothic" w:hAnsi="Century Gothic"/>
                <w:strike/>
                <w:color w:val="FF0000"/>
                <w:sz w:val="20"/>
                <w:szCs w:val="20"/>
              </w:rPr>
              <w:t>2,5</w:t>
            </w:r>
            <w:r w:rsidR="00A03535" w:rsidRPr="0081747F">
              <w:rPr>
                <w:rFonts w:ascii="Century Gothic" w:hAnsi="Century Gothic"/>
                <w:color w:val="FF0000"/>
                <w:sz w:val="20"/>
                <w:szCs w:val="20"/>
              </w:rPr>
              <w:t xml:space="preserve"> </w:t>
            </w:r>
            <w:r w:rsidR="0081747F" w:rsidRPr="0081747F">
              <w:rPr>
                <w:rFonts w:ascii="Century Gothic" w:hAnsi="Century Gothic"/>
                <w:color w:val="FF0000"/>
                <w:sz w:val="20"/>
                <w:szCs w:val="20"/>
              </w:rPr>
              <w:t>2,6</w:t>
            </w:r>
            <w:r w:rsidR="0081747F">
              <w:rPr>
                <w:rFonts w:ascii="Century Gothic" w:hAnsi="Century Gothic"/>
                <w:strike/>
                <w:color w:val="FF0000"/>
                <w:sz w:val="20"/>
                <w:szCs w:val="20"/>
              </w:rPr>
              <w:t xml:space="preserve"> </w:t>
            </w:r>
            <w:r w:rsidR="00A03535" w:rsidRPr="00915CAA">
              <w:rPr>
                <w:rFonts w:ascii="Century Gothic" w:hAnsi="Century Gothic"/>
                <w:sz w:val="20"/>
                <w:szCs w:val="20"/>
              </w:rPr>
              <w:t>kg</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5275CF">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AD7483">
            <w:pPr>
              <w:snapToGrid w:val="0"/>
              <w:jc w:val="both"/>
              <w:rPr>
                <w:rFonts w:ascii="Century Gothic" w:hAnsi="Century Gothic"/>
                <w:sz w:val="20"/>
                <w:szCs w:val="20"/>
              </w:rPr>
            </w:pPr>
            <w:r w:rsidRPr="00915CAA">
              <w:rPr>
                <w:rFonts w:ascii="Century Gothic" w:hAnsi="Century Gothic"/>
                <w:sz w:val="20"/>
                <w:szCs w:val="20"/>
              </w:rPr>
              <w:t>Duży, czytelny wyświetlacz wbudowany w pompie, z szerokim kątem widzenia z każdej strony, o największej powierzchni (w cm</w:t>
            </w:r>
            <w:r w:rsidRPr="00915CAA">
              <w:rPr>
                <w:rFonts w:ascii="Century Gothic" w:hAnsi="Century Gothic"/>
                <w:sz w:val="20"/>
                <w:szCs w:val="20"/>
                <w:vertAlign w:val="superscript"/>
              </w:rPr>
              <w:t>2</w:t>
            </w:r>
            <w:r w:rsidRPr="00915CAA">
              <w:rPr>
                <w:rFonts w:ascii="Century Gothic" w:hAnsi="Century Gothic"/>
                <w:sz w:val="20"/>
                <w:szCs w:val="20"/>
              </w:rPr>
              <w:t>)</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 xml:space="preserve">Podać </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0,5 pkt za ekran wbudowany w pompę o największej powierzchni wyświetlacza,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Historia zdarzeń, przechowywana w pamięci pompy dostępna dla personelu lub z urządzeniami dodatkowymi, o największej możliwej liczbie zdarzeń</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równoczesnego wyświetlenia na ekranie pompy nazwy leków zawierające największą możliwą liczbę znaków, z dużymi literami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Skuteczne zabezpieczenie wprowadzonych do pompy danych, których zmiany może dokonać tylko upoważniony administrator</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1747F">
            <w:pPr>
              <w:snapToGrid w:val="0"/>
              <w:jc w:val="both"/>
              <w:rPr>
                <w:rFonts w:ascii="Century Gothic" w:hAnsi="Century Gothic"/>
                <w:sz w:val="20"/>
                <w:szCs w:val="20"/>
              </w:rPr>
            </w:pPr>
            <w:r w:rsidRPr="00915CAA">
              <w:rPr>
                <w:rFonts w:ascii="Century Gothic" w:hAnsi="Century Gothic"/>
                <w:sz w:val="20"/>
                <w:szCs w:val="20"/>
              </w:rPr>
              <w:t>Funkcja programowania objętości do podania  0,1- 9999 ml</w:t>
            </w:r>
            <w:r w:rsidR="0081747F">
              <w:rPr>
                <w:rFonts w:ascii="Century Gothic" w:hAnsi="Century Gothic"/>
                <w:sz w:val="20"/>
                <w:szCs w:val="20"/>
              </w:rPr>
              <w:t xml:space="preserve"> lub </w:t>
            </w:r>
            <w:r w:rsidR="0081747F" w:rsidRPr="0081747F">
              <w:rPr>
                <w:rFonts w:ascii="Century Gothic" w:hAnsi="Century Gothic"/>
                <w:color w:val="FF0000"/>
                <w:sz w:val="20"/>
                <w:szCs w:val="20"/>
                <w:lang w:eastAsia="pl-PL"/>
              </w:rPr>
              <w:t>pompy z funkcją programowania objętości do podania od 1 – 9999 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uppressAutoHyphens w:val="0"/>
              <w:spacing w:after="200" w:line="276" w:lineRule="auto"/>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zaprogramowania objętości infuzji dla trwającego wlewu</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Podaż krwi i preparatów krwiopochodnych poprzez zastosowanie dedykowanych aparatów do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rPr>
                <w:rFonts w:ascii="Century Gothic" w:hAnsi="Century Gothic"/>
                <w:sz w:val="20"/>
                <w:szCs w:val="20"/>
              </w:rPr>
            </w:pPr>
            <w:r w:rsidRPr="00915CAA">
              <w:rPr>
                <w:rFonts w:ascii="Century Gothic" w:hAnsi="Century Gothic"/>
                <w:sz w:val="20"/>
                <w:szCs w:val="20"/>
              </w:rPr>
              <w:t xml:space="preserve">1 pkt – </w:t>
            </w:r>
            <w:r w:rsidR="00D74B9E">
              <w:rPr>
                <w:rFonts w:ascii="Century Gothic" w:hAnsi="Century Gothic"/>
                <w:sz w:val="20"/>
                <w:szCs w:val="20"/>
              </w:rPr>
              <w:t xml:space="preserve">pompa posiada </w:t>
            </w:r>
            <w:r w:rsidRPr="00915CAA">
              <w:rPr>
                <w:rFonts w:ascii="Century Gothic" w:hAnsi="Century Gothic"/>
                <w:sz w:val="20"/>
                <w:szCs w:val="20"/>
              </w:rPr>
              <w:t>certyfikat świadczący o braku zjawiska hemolizy , w trakcie przetaczania krwi</w:t>
            </w:r>
            <w:r w:rsidR="00D74B9E">
              <w:rPr>
                <w:rFonts w:ascii="Century Gothic" w:hAnsi="Century Gothic"/>
                <w:sz w:val="20"/>
                <w:szCs w:val="20"/>
              </w:rPr>
              <w:t>,</w:t>
            </w:r>
            <w:r w:rsidRPr="00915CAA">
              <w:rPr>
                <w:rFonts w:ascii="Century Gothic" w:hAnsi="Century Gothic"/>
                <w:sz w:val="20"/>
                <w:szCs w:val="20"/>
              </w:rPr>
              <w:t xml:space="preserve">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5F4345">
            <w:pPr>
              <w:snapToGrid w:val="0"/>
              <w:jc w:val="both"/>
              <w:rPr>
                <w:rFonts w:ascii="Century Gothic" w:hAnsi="Century Gothic"/>
                <w:sz w:val="20"/>
                <w:szCs w:val="20"/>
              </w:rPr>
            </w:pPr>
            <w:r w:rsidRPr="00915CAA">
              <w:rPr>
                <w:rFonts w:ascii="Century Gothic" w:hAnsi="Century Gothic"/>
                <w:sz w:val="20"/>
                <w:szCs w:val="20"/>
              </w:rPr>
              <w:t>Możliwość pracy z zestawami typu „Low Sorbing” lub Zamawiający  dopuści   możliwość pracy  z zestawami  o parametrach oczekiwanych w tym punkcie,  ale  nieokreślanymi jako „low sorbing”</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p w:rsidR="00A03535" w:rsidRPr="00915CAA" w:rsidRDefault="00A03535" w:rsidP="002454E8">
            <w:pPr>
              <w:pStyle w:val="Standard"/>
              <w:snapToGrid w:val="0"/>
              <w:jc w:val="both"/>
              <w:rPr>
                <w:rFonts w:ascii="Century Gothic" w:hAnsi="Century Gothic"/>
                <w:color w:val="FF0000"/>
                <w:sz w:val="20"/>
                <w:szCs w:val="20"/>
              </w:rPr>
            </w:pPr>
          </w:p>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Podaży lipidów poprzez dedykowane aparaty z filtrem</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Praca z zestawami z Biuretą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Dostępność łączników bezigłowych w zestawach dedykowanych do pomp objętościowych</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Podaż infuzji podstawowej i dodatkowej</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Niezależne programowanie infuzji podstawowej i dodatkowej przed rozpoczęciem wlewu</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Wykrywanie pęcherzyków powietrza w drenie z możliwością określenia ich wielkości – podać wielkości pęcherzyków powietrza, jakie można zaprogramować – max. wielkość 500 µl; min. 4 ustawiane wielkości</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Lub</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wykrywania powietrza w linii z możliwością programowania rozmiaru wykrywanego pęcherzyka lub skumulowanego powietrza zmierzonego w ciągu 15 minut</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pracy w min. następujących trybach:</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-szybkość dozowania – w ml/godz., jednostkach masowych w stosunku do czasu – wymienić jednostki, i w jednostkach masowych w stosunku do wagi pacjenta i czasu – wymienić jednostki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-szybkość dozowania + objętość infuzji do podania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objętość do podania + czas podaży (automatyczne wyliczanie prędkości podaży)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z kalkulatorem lekowym automatycznie  obliczającym dawkowanie</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zmiany prędkości podaży leku w trakcie pracy bez konieczności wyłączenia pompy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Biblioteka leków min 150 leków wraz z protokołami infuzji, min. 15 profili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Podział leków w bibliotece na profile (rodzaj pacjenta lub oddział/pododdział) z możliwością umieszczenia tego samego leku w różnych profilach – preferowana największa ilość dostępnych profili, ale nie mniej niż 10</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Domylnie"/>
              <w:jc w:val="center"/>
              <w:rPr>
                <w:rFonts w:ascii="Century Gothic" w:hAnsi="Century Gothic"/>
                <w:kern w:val="2"/>
                <w:sz w:val="20"/>
                <w:szCs w:val="20"/>
                <w:lang w:val="pl-PL" w:eastAsia="ar-SA"/>
              </w:rPr>
            </w:pPr>
            <w:r w:rsidRPr="00915CAA">
              <w:rPr>
                <w:rFonts w:ascii="Century Gothic" w:hAnsi="Century Gothic"/>
                <w:kern w:val="2"/>
                <w:sz w:val="20"/>
                <w:szCs w:val="20"/>
                <w:lang w:val="pl-PL" w:eastAsia="ar-SA"/>
              </w:rPr>
              <w:t>1 pkt</w:t>
            </w:r>
          </w:p>
          <w:p w:rsidR="00A03535" w:rsidRPr="00915CAA" w:rsidRDefault="00A03535" w:rsidP="002454E8">
            <w:pPr>
              <w:pStyle w:val="Domylnie"/>
              <w:jc w:val="center"/>
              <w:rPr>
                <w:rFonts w:ascii="Century Gothic" w:hAnsi="Century Gothic"/>
                <w:kern w:val="2"/>
                <w:sz w:val="20"/>
                <w:szCs w:val="20"/>
                <w:lang w:val="pl-PL" w:eastAsia="ar-SA"/>
              </w:rPr>
            </w:pPr>
            <w:r w:rsidRPr="00915CAA">
              <w:rPr>
                <w:rFonts w:ascii="Century Gothic" w:hAnsi="Century Gothic"/>
                <w:kern w:val="2"/>
                <w:sz w:val="20"/>
                <w:szCs w:val="20"/>
                <w:lang w:val="pl-PL" w:eastAsia="ar-SA"/>
              </w:rPr>
              <w:t>za większą niż 10 ilość profili;</w:t>
            </w:r>
          </w:p>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 pkt za ilość &lt;= 10 profili</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modyfikacji przez Użytkownika wybranego protokołu lekowego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ustawienia minimalnych i maksymalnych limitów twardych, których nie można przekroczyć  i limitów miękkich, które po zatwierdzeniu można przekroczyć dla protokołów dawkowania w bibliotece leków</w:t>
            </w:r>
            <w:r w:rsidR="00BA1E21">
              <w:rPr>
                <w:rFonts w:ascii="Century Gothic" w:hAnsi="Century Gothic"/>
                <w:sz w:val="20"/>
                <w:szCs w:val="20"/>
              </w:rPr>
              <w:t xml:space="preserve"> </w:t>
            </w:r>
            <w:r w:rsidR="00BA1E21" w:rsidRPr="00BA1E21">
              <w:rPr>
                <w:rFonts w:ascii="Century Gothic" w:hAnsi="Century Gothic"/>
                <w:color w:val="FF0000"/>
                <w:sz w:val="20"/>
                <w:szCs w:val="20"/>
              </w:rPr>
              <w:t xml:space="preserve">lub </w:t>
            </w:r>
            <w:r w:rsidR="00BA1E21" w:rsidRPr="00BA1E21">
              <w:rPr>
                <w:rFonts w:ascii="Century Gothic" w:hAnsi="Century Gothic"/>
                <w:color w:val="FF0000"/>
                <w:sz w:val="20"/>
                <w:szCs w:val="20"/>
                <w:lang w:eastAsia="pl-PL"/>
              </w:rPr>
              <w:t>możliwość ustawienia minimalnych i maksymalnych limitów miękkich, które po zatwierdzeniu można przekroczyć dla protokołów dawkowania leków w bibliotece leków oraz maksymalnych limitów twardych, których nie można przekroczyć,</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5E7BE2">
            <w:pPr>
              <w:snapToGrid w:val="0"/>
              <w:jc w:val="center"/>
              <w:rPr>
                <w:rFonts w:ascii="Century Gothic" w:hAnsi="Century Gothic"/>
                <w:sz w:val="20"/>
                <w:szCs w:val="20"/>
              </w:rPr>
            </w:pPr>
            <w:r w:rsidRPr="00915CAA">
              <w:rPr>
                <w:rFonts w:ascii="Century Gothic" w:hAnsi="Century Gothic"/>
                <w:sz w:val="20"/>
                <w:szCs w:val="20"/>
              </w:rPr>
              <w:t>Tak – 1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wyboru trybów pracy po zakończeniu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zatrzymanie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tryb KVO (utrzymanie drożności wlewu/naczynia – zapobieganie obturacji) z regulacją prędkości podaży przez Użytkownika w zakresie nie mniejszym niż 0,1-20 ml/godz</w:t>
            </w:r>
            <w:r w:rsidR="002D5F76">
              <w:rPr>
                <w:rFonts w:ascii="Century Gothic" w:hAnsi="Century Gothic"/>
                <w:sz w:val="20"/>
                <w:szCs w:val="20"/>
              </w:rPr>
              <w:t xml:space="preserve"> lub </w:t>
            </w:r>
            <w:r w:rsidR="002D5F76" w:rsidRPr="002D5F76">
              <w:rPr>
                <w:rFonts w:ascii="Century Gothic" w:hAnsi="Century Gothic"/>
                <w:color w:val="FF0000"/>
                <w:sz w:val="20"/>
                <w:szCs w:val="20"/>
                <w:lang w:eastAsia="pl-PL"/>
              </w:rPr>
              <w:t xml:space="preserve">pompy z trybem KVO (utrzymanie drożności wlewu/naczynia – zapobieganie obturacji) z regulacją prędkości podaży przez Użytkownika </w:t>
            </w:r>
            <w:r w:rsidR="002D5F76">
              <w:rPr>
                <w:rFonts w:ascii="Century Gothic" w:hAnsi="Century Gothic"/>
                <w:color w:val="FF0000"/>
                <w:sz w:val="20"/>
                <w:szCs w:val="20"/>
                <w:lang w:eastAsia="pl-PL"/>
              </w:rPr>
              <w:t>w zakresie nie od 1 -20 ml/godz.</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Tryb BOLUS z podaniem dawki uderzeniowej bez zatrzymania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automatyczny (hands free) z konfigurowaną przez użytkownika prędkością podaży w zakresie min 10 – 1200 ml/h oraz objętością dawki w zakresie min 0,1 – 25 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ręczny (hands on) z konfigurowaną przez użytkownika prędkością podaży w zakresie min 10 – 1200 ml/h i kontrolą objętości podanego bolusa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DA0416">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Wskaźnik wielkości okluzji, ustawianie granicy ciśnienia okluzji przed jak i w czasie infuzji bez jej przerywania, alarmy okluzji w zakresie nie mniejszym niż od 225 do 1000 mmHg (+/-20%)</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Ustawienie poziomu ciśnienia okluzji min. 9</w:t>
            </w:r>
            <w:r w:rsidR="002D5F76">
              <w:rPr>
                <w:rFonts w:ascii="Century Gothic" w:hAnsi="Century Gothic"/>
                <w:sz w:val="20"/>
                <w:szCs w:val="20"/>
              </w:rPr>
              <w:t xml:space="preserve"> </w:t>
            </w:r>
            <w:r w:rsidR="002D5F76" w:rsidRPr="002D5F76">
              <w:rPr>
                <w:rFonts w:ascii="Century Gothic" w:hAnsi="Century Gothic"/>
                <w:color w:val="FF0000"/>
                <w:sz w:val="20"/>
                <w:szCs w:val="20"/>
              </w:rPr>
              <w:t xml:space="preserve">lub </w:t>
            </w:r>
            <w:r w:rsidR="002D5F76" w:rsidRPr="002D5F76">
              <w:rPr>
                <w:rFonts w:ascii="Century Gothic" w:hAnsi="Century Gothic"/>
                <w:color w:val="FF0000"/>
                <w:sz w:val="20"/>
                <w:szCs w:val="20"/>
                <w:lang w:eastAsia="pl-PL"/>
              </w:rPr>
              <w:t>pompy z ciśnieniem okluzji od 50-750 mmHg</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r w:rsidR="00D74B9E">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eastAsia="Batang" w:hAnsi="Century Gothic"/>
                <w:color w:val="FF0000"/>
                <w:sz w:val="20"/>
                <w:szCs w:val="20"/>
              </w:rPr>
            </w:pPr>
          </w:p>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 xml:space="preserve">&gt;15 poziomów 2 pkt;  pozostałe 0 pkt </w:t>
            </w:r>
          </w:p>
          <w:p w:rsidR="00A03535" w:rsidRPr="00915CAA" w:rsidRDefault="00A03535" w:rsidP="002454E8">
            <w:pPr>
              <w:snapToGrid w:val="0"/>
              <w:jc w:val="center"/>
              <w:rPr>
                <w:rFonts w:ascii="Century Gothic" w:hAnsi="Century Gothic"/>
                <w:sz w:val="20"/>
                <w:szCs w:val="20"/>
              </w:rPr>
            </w:pPr>
          </w:p>
        </w:tc>
      </w:tr>
      <w:tr w:rsidR="00A03535" w:rsidRPr="00915CAA" w:rsidTr="00457F86">
        <w:trPr>
          <w:trHeight w:val="532"/>
        </w:trPr>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wypełnienia drenu z wyborem przez Użytkownika prędkości w zakresie nie mniejszym niż 100-500 ml/godz. i objętości wypełnienia drenu w zakresie nie mniejszym niż 5-50 ml</w:t>
            </w:r>
            <w:r w:rsidR="002D5F76">
              <w:rPr>
                <w:rFonts w:ascii="Century Gothic" w:hAnsi="Century Gothic"/>
                <w:sz w:val="20"/>
                <w:szCs w:val="20"/>
              </w:rPr>
              <w:t xml:space="preserve"> </w:t>
            </w:r>
            <w:r w:rsidR="002D5F76" w:rsidRPr="002D5F76">
              <w:rPr>
                <w:rFonts w:ascii="Century Gothic" w:hAnsi="Century Gothic"/>
                <w:color w:val="FF0000"/>
                <w:sz w:val="20"/>
                <w:szCs w:val="20"/>
              </w:rPr>
              <w:t xml:space="preserve">lub </w:t>
            </w:r>
            <w:r w:rsidR="002D5F76" w:rsidRPr="002D5F76">
              <w:rPr>
                <w:rFonts w:ascii="Century Gothic" w:hAnsi="Century Gothic"/>
                <w:color w:val="FF0000"/>
                <w:sz w:val="20"/>
                <w:szCs w:val="20"/>
                <w:lang w:eastAsia="pl-PL"/>
              </w:rPr>
              <w:t>pompy z  funkcja wypełnienia drenu z prędkością maksymalną dla. i objętości wypełnienia drenu w zakresie  od   0, 1 -30 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D74B9E" w:rsidP="002454E8">
            <w:pPr>
              <w:snapToGrid w:val="0"/>
              <w:jc w:val="center"/>
              <w:rPr>
                <w:rFonts w:ascii="Century Gothic" w:hAnsi="Century Gothic"/>
                <w:sz w:val="20"/>
                <w:szCs w:val="20"/>
              </w:rPr>
            </w:pPr>
            <w:r>
              <w:rPr>
                <w:rFonts w:ascii="Century Gothic" w:hAnsi="Century Gothic"/>
                <w:sz w:val="20"/>
                <w:szCs w:val="20"/>
              </w:rPr>
              <w:t xml:space="preserve">Tak, </w:t>
            </w:r>
            <w:r w:rsidR="00A03535" w:rsidRPr="00915CAA">
              <w:rPr>
                <w:rFonts w:ascii="Century Gothic" w:hAnsi="Century Gothic"/>
                <w:sz w:val="20"/>
                <w:szCs w:val="20"/>
              </w:rPr>
              <w:t>Podać liczbę progów konfiguracji</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Czytelny wyświetlacz z możliwością wyświetlania</w:t>
            </w:r>
            <w:r w:rsidR="00D74B9E">
              <w:rPr>
                <w:rFonts w:ascii="Century Gothic" w:hAnsi="Century Gothic"/>
                <w:sz w:val="20"/>
                <w:szCs w:val="20"/>
              </w:rPr>
              <w:t xml:space="preserve"> min następujących informacji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Nazwa leku</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Prędkość infuzji</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Informacja o trwającej infuzji  w postaci piktogramu lub alfanumerycznych zapisów</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Czas pozostały do końca infuzji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Informacja o stanie naładowania akumulatora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Graficzny obraz stanu ciśnienia - wybrane ciśnienie alarmu okluzji,</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ikona stanu naładowania baterii</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informacja o infuzji dodatkowej</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Praca pompy w systemie zarządzającym infuzjami poprzez stację dokującą</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Zróżnicowany dwustopniowy system ostrzeżeń i alarmów akustycznych i optycznych (wizualnych) z wstrzymaniem infuzji dla alarmów</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okluzji w części górnej (pomiędzy pompą a workiem) z automatycznym wstrzymaniem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okluzji w części dolnej (pomiędzy pompą a pacjentem) z automatycznym wstrzymaniem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Alarm końca infuzji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 przejściu w tryb KVO, zatrzymania lub kontynuacji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otwartych drzwiczek</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nieprawidłowego zamocowania drenu</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użytego nieprawidłowego drenu</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DA0416">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braku przepływu (przy zastosowaniu licznika kropli)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błędu przepływu (przy zastosowaniu licznika kropli)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powietrza w linii – dla pojedynczego pęcherzyka powietrza przekraczającego limit</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D5F76">
            <w:pPr>
              <w:snapToGrid w:val="0"/>
              <w:jc w:val="both"/>
              <w:rPr>
                <w:rFonts w:ascii="Century Gothic" w:hAnsi="Century Gothic"/>
                <w:sz w:val="20"/>
                <w:szCs w:val="20"/>
              </w:rPr>
            </w:pPr>
            <w:r w:rsidRPr="00915CAA">
              <w:rPr>
                <w:rFonts w:ascii="Century Gothic" w:hAnsi="Century Gothic"/>
                <w:sz w:val="20"/>
                <w:szCs w:val="20"/>
              </w:rPr>
              <w:t xml:space="preserve">Alarm powietrza w linii – dla skumulowanej objętości pęcherzyków powietrza – max. 1 ml </w:t>
            </w:r>
            <w:r w:rsidR="002D5F76" w:rsidRPr="002D5F76">
              <w:rPr>
                <w:rFonts w:ascii="Century Gothic" w:hAnsi="Century Gothic"/>
                <w:color w:val="FF0000"/>
                <w:sz w:val="20"/>
                <w:szCs w:val="20"/>
              </w:rPr>
              <w:t xml:space="preserve">lub </w:t>
            </w:r>
            <w:r w:rsidR="002D5F76" w:rsidRPr="002D5F76">
              <w:rPr>
                <w:rFonts w:ascii="Century Gothic" w:hAnsi="Century Gothic"/>
                <w:color w:val="FF0000"/>
                <w:sz w:val="20"/>
                <w:szCs w:val="20"/>
                <w:lang w:eastAsia="pl-PL"/>
              </w:rPr>
              <w:t>pompy z Alarmem  powietrza w linii – dla skumulowanej objętości pęcherzyków powietrza  w zakresie od 0,01-2 ml</w:t>
            </w:r>
            <w:r w:rsidR="002D5F76" w:rsidRPr="002D5F76">
              <w:rPr>
                <w:rFonts w:ascii="Garamond" w:hAnsi="Garamond"/>
                <w:color w:val="FF0000"/>
                <w:lang w:eastAsia="pl-PL"/>
              </w:rPr>
              <w:t xml:space="preserve">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D5F76">
            <w:pPr>
              <w:snapToGrid w:val="0"/>
              <w:jc w:val="both"/>
              <w:rPr>
                <w:rFonts w:ascii="Century Gothic" w:hAnsi="Century Gothic"/>
                <w:sz w:val="20"/>
                <w:szCs w:val="20"/>
              </w:rPr>
            </w:pPr>
            <w:r w:rsidRPr="00915CAA">
              <w:rPr>
                <w:rFonts w:ascii="Century Gothic" w:hAnsi="Century Gothic"/>
                <w:sz w:val="20"/>
                <w:szCs w:val="20"/>
              </w:rPr>
              <w:t xml:space="preserve"> Alarm wstępny rozładowania baterii – na 30 minut przed jej wyczerpaniem</w:t>
            </w:r>
            <w:r w:rsidR="002D5F76">
              <w:rPr>
                <w:rFonts w:ascii="Century Gothic" w:hAnsi="Century Gothic"/>
                <w:sz w:val="20"/>
                <w:szCs w:val="20"/>
              </w:rPr>
              <w:t xml:space="preserve"> </w:t>
            </w:r>
            <w:r w:rsidR="002D5F76" w:rsidRPr="002D5F76">
              <w:rPr>
                <w:rFonts w:ascii="Century Gothic" w:hAnsi="Century Gothic"/>
                <w:color w:val="FF0000"/>
                <w:sz w:val="20"/>
                <w:szCs w:val="20"/>
              </w:rPr>
              <w:t xml:space="preserve">lub </w:t>
            </w:r>
            <w:r w:rsidR="002D5F76" w:rsidRPr="002D5F76">
              <w:rPr>
                <w:rFonts w:ascii="Century Gothic" w:hAnsi="Century Gothic"/>
                <w:color w:val="FF0000"/>
                <w:sz w:val="20"/>
                <w:szCs w:val="20"/>
                <w:lang w:eastAsia="pl-PL"/>
              </w:rPr>
              <w:t>pomp</w:t>
            </w:r>
            <w:r w:rsidR="002D5F76">
              <w:rPr>
                <w:rFonts w:ascii="Century Gothic" w:hAnsi="Century Gothic"/>
                <w:color w:val="FF0000"/>
                <w:sz w:val="20"/>
                <w:szCs w:val="20"/>
                <w:lang w:eastAsia="pl-PL"/>
              </w:rPr>
              <w:t>y</w:t>
            </w:r>
            <w:r w:rsidR="002D5F76" w:rsidRPr="002D5F76">
              <w:rPr>
                <w:rFonts w:ascii="Century Gothic" w:hAnsi="Century Gothic"/>
                <w:color w:val="FF0000"/>
                <w:sz w:val="20"/>
                <w:szCs w:val="20"/>
                <w:lang w:eastAsia="pl-PL"/>
              </w:rPr>
              <w:t xml:space="preserve"> z  wstępnym alarmem rozładowania akumulatora  w trybie średniego priorytetu oraz alarmem rozładowania akumulatora – na 5  minut  przed jego wyczerpaniem w trybie wysokiego priorytetu  alarmu</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rozładowania baterii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Alarm awarii urządzenia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Inne alarmy i ostrzeżenia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Pobór mocy przez pojedynczą pompę [Wat]</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7056D4">
            <w:pPr>
              <w:snapToGrid w:val="0"/>
              <w:jc w:val="center"/>
              <w:rPr>
                <w:rFonts w:ascii="Century Gothic" w:hAnsi="Century Gothic"/>
                <w:sz w:val="20"/>
                <w:szCs w:val="20"/>
              </w:rPr>
            </w:pPr>
            <w:r w:rsidRPr="00915CAA">
              <w:rPr>
                <w:rFonts w:ascii="Century Gothic" w:hAnsi="Century Gothic"/>
                <w:sz w:val="20"/>
                <w:szCs w:val="20"/>
              </w:rPr>
              <w:t>Najmniejszy – 3 pkt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żywienia dojelitowego specjalnymi drenami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1 pkt- TAK</w:t>
            </w:r>
          </w:p>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 pkt - NIE</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Objętość zajmowanej powierzchni, zajmowana przez pojedynczą pompę [cm3]</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DA0416">
            <w:pPr>
              <w:snapToGrid w:val="0"/>
              <w:jc w:val="center"/>
              <w:rPr>
                <w:rFonts w:ascii="Century Gothic" w:hAnsi="Century Gothic"/>
                <w:sz w:val="20"/>
                <w:szCs w:val="20"/>
              </w:rPr>
            </w:pPr>
            <w:r w:rsidRPr="00915CAA">
              <w:rPr>
                <w:rFonts w:ascii="Century Gothic" w:hAnsi="Century Gothic"/>
                <w:sz w:val="20"/>
                <w:szCs w:val="20"/>
              </w:rPr>
              <w:t>Najmniejsza – 1 pkt,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13892" w:type="dxa"/>
            <w:gridSpan w:val="4"/>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stacja dokująca 4 pompy COM - 155 szt.</w:t>
            </w:r>
          </w:p>
          <w:p w:rsidR="00A03535" w:rsidRPr="00915CAA" w:rsidRDefault="00A03535" w:rsidP="002454E8">
            <w:pPr>
              <w:snapToGrid w:val="0"/>
              <w:jc w:val="center"/>
              <w:rPr>
                <w:rFonts w:ascii="Century Gothic" w:hAnsi="Century Gothic"/>
                <w:color w:val="FF0000"/>
                <w:sz w:val="20"/>
                <w:szCs w:val="20"/>
              </w:rPr>
            </w:pP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Default="00A03535" w:rsidP="00673B16">
            <w:pPr>
              <w:snapToGrid w:val="0"/>
              <w:jc w:val="both"/>
              <w:rPr>
                <w:rFonts w:ascii="Century Gothic" w:hAnsi="Century Gothic"/>
                <w:sz w:val="20"/>
                <w:szCs w:val="20"/>
              </w:rPr>
            </w:pPr>
            <w:r w:rsidRPr="00915CAA">
              <w:rPr>
                <w:rFonts w:ascii="Century Gothic" w:hAnsi="Century Gothic"/>
                <w:sz w:val="20"/>
                <w:szCs w:val="20"/>
              </w:rPr>
              <w:t>Możliwość maksymalnego dokowania w stacji roboczej przynajmniej min 4 pomp infuzyjnych</w:t>
            </w:r>
          </w:p>
          <w:p w:rsidR="007B6850" w:rsidRPr="007B6850" w:rsidRDefault="007B6850" w:rsidP="007B6850">
            <w:pPr>
              <w:snapToGrid w:val="0"/>
              <w:jc w:val="both"/>
              <w:rPr>
                <w:rFonts w:ascii="Century Gothic" w:hAnsi="Century Gothic"/>
                <w:sz w:val="16"/>
                <w:szCs w:val="16"/>
              </w:rPr>
            </w:pPr>
            <w:r w:rsidRPr="007B6850">
              <w:rPr>
                <w:rFonts w:ascii="Century Gothic" w:hAnsi="Century Gothic"/>
                <w:color w:val="FF0000"/>
                <w:sz w:val="16"/>
                <w:szCs w:val="16"/>
              </w:rPr>
              <w:t xml:space="preserve">Uwaga – Zamawiający dopuszcza </w:t>
            </w:r>
            <w:r w:rsidRPr="007B6850">
              <w:rPr>
                <w:rFonts w:ascii="Century Gothic" w:hAnsi="Century Gothic"/>
                <w:color w:val="FF0000"/>
                <w:sz w:val="16"/>
                <w:szCs w:val="16"/>
                <w:lang w:eastAsia="pl-PL"/>
              </w:rPr>
              <w:t>rozwiązanie polegające na możliwości użycia jednego portu komunikacyjnego (COM) na jedno stanowisko</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Dwustronna Komunikacja z pompami infuzyjnymi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System zatrzaskowego mocowania pomp w stacji dokującej</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1 pkt – dowolna konfiguracja układu i ilości pomp strzykawkowych i objętościowych, 0 – pkt brak elastyczności</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Wspólne zasilanie pomp ze stacji dokującej</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Ładowanie pomp natychmiast po podłączeniu do stacji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na stojaku jezdnym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do kolumn pionowych (uwzględniających wagę zestawu łącznie z pompami)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0,5 - pkt-najmniejsza waga, 0 pkt - pozostałe</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z wykorzystaniem standardowych szyn medycznych</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Wieszak na worki z płynami infuzyjnymi o regulowanej wysokości z możliwością jego demontażu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Łatwo dostrzegalna panel sygnalizacyjny</w:t>
            </w:r>
            <w:r w:rsidRPr="00915CAA">
              <w:rPr>
                <w:rFonts w:ascii="Century Gothic" w:hAnsi="Century Gothic"/>
                <w:strike/>
                <w:sz w:val="20"/>
                <w:szCs w:val="20"/>
              </w:rPr>
              <w:t xml:space="preserve"> </w:t>
            </w:r>
            <w:r w:rsidRPr="00915CAA">
              <w:rPr>
                <w:rFonts w:ascii="Century Gothic" w:hAnsi="Century Gothic"/>
                <w:sz w:val="20"/>
                <w:szCs w:val="20"/>
              </w:rPr>
              <w:t>wskazujący stan pompy zamocowanej do stacji</w:t>
            </w:r>
            <w:r w:rsidRPr="006C444C">
              <w:rPr>
                <w:rFonts w:ascii="Century Gothic" w:hAnsi="Century Gothic"/>
                <w:strike/>
                <w:color w:val="FF0000"/>
                <w:sz w:val="20"/>
                <w:szCs w:val="20"/>
              </w:rPr>
              <w:t>: praca, alarm wstępny, alarm końcowy</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C537C">
            <w:pPr>
              <w:snapToGrid w:val="0"/>
              <w:jc w:val="both"/>
              <w:rPr>
                <w:rFonts w:ascii="Century Gothic" w:hAnsi="Century Gothic"/>
                <w:sz w:val="20"/>
                <w:szCs w:val="20"/>
              </w:rPr>
            </w:pPr>
            <w:r w:rsidRPr="00915CAA">
              <w:rPr>
                <w:rFonts w:ascii="Century Gothic" w:hAnsi="Century Gothic"/>
                <w:sz w:val="20"/>
                <w:szCs w:val="20"/>
              </w:rPr>
              <w:t>Opcjonalna możliwość przyszłościowego włączenia roboczych stacji dokujących w system centralnego monitorowania infuzji oraz serwerowy system do zdalnego przesyłania zestawów danych i automatycznego zbierania danych infuzji</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 przypadku rozbudowy system musi posiadać minimum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8C537C">
            <w:pPr>
              <w:snapToGrid w:val="0"/>
              <w:jc w:val="center"/>
              <w:rPr>
                <w:rFonts w:ascii="Century Gothic" w:hAnsi="Century Gothic"/>
                <w:sz w:val="20"/>
                <w:szCs w:val="20"/>
              </w:rPr>
            </w:pPr>
          </w:p>
          <w:p w:rsidR="00A03535" w:rsidRPr="00915CAA" w:rsidRDefault="00A03535" w:rsidP="008C537C">
            <w:pPr>
              <w:snapToGrid w:val="0"/>
              <w:jc w:val="center"/>
              <w:rPr>
                <w:rFonts w:ascii="Century Gothic" w:hAnsi="Century Gothic"/>
                <w:sz w:val="20"/>
                <w:szCs w:val="20"/>
              </w:rPr>
            </w:pPr>
            <w:r w:rsidRPr="00915CAA">
              <w:rPr>
                <w:rFonts w:ascii="Century Gothic" w:hAnsi="Century Gothic"/>
                <w:sz w:val="20"/>
                <w:szCs w:val="20"/>
              </w:rPr>
              <w:t>TAK</w:t>
            </w:r>
          </w:p>
          <w:p w:rsidR="00A03535" w:rsidRPr="00915CAA" w:rsidRDefault="00A03535" w:rsidP="008C537C">
            <w:pPr>
              <w:snapToGrid w:val="0"/>
              <w:jc w:val="center"/>
              <w:rPr>
                <w:rFonts w:ascii="Century Gothic" w:hAnsi="Century Gothic"/>
                <w:sz w:val="20"/>
                <w:szCs w:val="20"/>
              </w:rPr>
            </w:pPr>
          </w:p>
          <w:p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kompatybilność stacji dokujących z oprogramowaniem umożliwiającym centralne monitorowanie infuzji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C104A">
            <w:pPr>
              <w:snapToGrid w:val="0"/>
              <w:jc w:val="both"/>
              <w:rPr>
                <w:rFonts w:ascii="Century Gothic" w:hAnsi="Century Gothic"/>
                <w:sz w:val="20"/>
                <w:szCs w:val="20"/>
              </w:rPr>
            </w:pPr>
            <w:r w:rsidRPr="00915CAA">
              <w:rPr>
                <w:rFonts w:ascii="Century Gothic" w:hAnsi="Century Gothic"/>
                <w:sz w:val="20"/>
                <w:szCs w:val="20"/>
              </w:rPr>
              <w:t>- możliwość jednoczasowego wyświetlania na jednym monitorze wszystkich stanowisk infuzji, bez konieczności, wywoływania kolejnych ekranów wymagana jest jednoczasowa obserwacja do min. 12 stanowisk infuzji jednoczasowo</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wizualne rozróżnienie, różnych terapii dożylnych, w centrali monitorowania ( np. terapi TCI, TIVA, Enteral itp )w pompach objętościowych i strzykawkowych</w:t>
            </w:r>
            <w:r w:rsidRPr="00915CAA">
              <w:rPr>
                <w:rFonts w:ascii="Century Gothic" w:hAnsi="Century Gothic"/>
                <w:color w:val="FF0000"/>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wyświetlanie alarmów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przeglądanie historii infuzji u każdego pacjenta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tworzenie bilansu płynów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 transfer zestawów danych do i z pomp poprzez sieć szpitalną, bez konieczności przerywania infuzji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natychmiastowa możliwość zlokalizowania pomp w systemie</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Komunikacja ze szpitalną siecią komputerową i bezpośrednio z komputerem za pomocą interfejsu Ethernet lub/i za pomocą bezprzewodowego połączenia sieciowego</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rozbudowy stacji o adapter do łączności bezprzewodowej ze szpitalną siecią komputerową</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Default="00A03535" w:rsidP="002454E8">
            <w:pPr>
              <w:snapToGrid w:val="0"/>
              <w:jc w:val="center"/>
              <w:rPr>
                <w:rFonts w:ascii="Century Gothic" w:hAnsi="Century Gothic"/>
                <w:strike/>
                <w:color w:val="FF0000"/>
                <w:sz w:val="20"/>
                <w:szCs w:val="20"/>
              </w:rPr>
            </w:pPr>
            <w:r w:rsidRPr="002D5F76">
              <w:rPr>
                <w:rFonts w:ascii="Century Gothic" w:hAnsi="Century Gothic"/>
                <w:strike/>
                <w:color w:val="FF0000"/>
                <w:sz w:val="20"/>
                <w:szCs w:val="20"/>
              </w:rPr>
              <w:t>TAK</w:t>
            </w:r>
          </w:p>
          <w:p w:rsidR="002D5F76" w:rsidRDefault="002D5F76" w:rsidP="002454E8">
            <w:pPr>
              <w:snapToGrid w:val="0"/>
              <w:jc w:val="center"/>
              <w:rPr>
                <w:rFonts w:ascii="Century Gothic" w:hAnsi="Century Gothic"/>
                <w:strike/>
                <w:color w:val="FF0000"/>
                <w:sz w:val="20"/>
                <w:szCs w:val="20"/>
              </w:rPr>
            </w:pPr>
          </w:p>
          <w:p w:rsidR="002D5F76" w:rsidRPr="002D5F76" w:rsidRDefault="002D5F76" w:rsidP="002454E8">
            <w:pPr>
              <w:snapToGrid w:val="0"/>
              <w:jc w:val="center"/>
              <w:rPr>
                <w:rFonts w:ascii="Century Gothic" w:hAnsi="Century Gothic"/>
                <w:sz w:val="20"/>
                <w:szCs w:val="20"/>
              </w:rPr>
            </w:pPr>
            <w:r>
              <w:rPr>
                <w:rFonts w:ascii="Century Gothic" w:hAnsi="Century Gothic"/>
                <w:color w:val="FF0000"/>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2D5F76" w:rsidRDefault="00A03535" w:rsidP="002454E8">
            <w:pPr>
              <w:pBdr>
                <w:bottom w:val="single" w:sz="6" w:space="1" w:color="auto"/>
              </w:pBdr>
              <w:snapToGrid w:val="0"/>
              <w:jc w:val="center"/>
              <w:rPr>
                <w:rFonts w:ascii="Century Gothic" w:hAnsi="Century Gothic"/>
                <w:color w:val="FF0000"/>
                <w:sz w:val="20"/>
                <w:szCs w:val="20"/>
              </w:rPr>
            </w:pPr>
          </w:p>
          <w:p w:rsidR="002D5F76" w:rsidRPr="002D5F76" w:rsidRDefault="002D5F76" w:rsidP="002454E8">
            <w:pPr>
              <w:snapToGrid w:val="0"/>
              <w:jc w:val="center"/>
              <w:rPr>
                <w:rFonts w:ascii="Century Gothic" w:hAnsi="Century Gothic"/>
                <w:color w:val="FF0000"/>
                <w:sz w:val="20"/>
                <w:szCs w:val="20"/>
              </w:rPr>
            </w:pPr>
          </w:p>
          <w:p w:rsidR="002D5F76" w:rsidRPr="002D5F76" w:rsidRDefault="002D5F76" w:rsidP="002454E8">
            <w:pPr>
              <w:snapToGrid w:val="0"/>
              <w:jc w:val="center"/>
              <w:rPr>
                <w:rFonts w:ascii="Century Gothic" w:hAnsi="Century Gothic"/>
                <w:color w:val="FF0000"/>
                <w:sz w:val="20"/>
                <w:szCs w:val="20"/>
              </w:rPr>
            </w:pPr>
            <w:r w:rsidRPr="002D5F76">
              <w:rPr>
                <w:rFonts w:ascii="Century Gothic" w:hAnsi="Century Gothic"/>
                <w:color w:val="FF0000"/>
                <w:sz w:val="20"/>
                <w:szCs w:val="20"/>
              </w:rPr>
              <w:t>tak – 3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przeglądania z zewnętrznego komputera lub komputera w sieci statusu infuzji i rejestru zdarzeń stacji z wykorzystaniem standardowej przeglądarki internetowej</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Kompatybilność z systemem PDMS co najmniej dla firm Philips, Draeger, GE, LowTec, iMDsoft, CapsuleTech, Epic</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Zabezpieczenie interfejsu konfiguracyjnego stacji dokującej hasłem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Interfejs komunikacyjny dwukierunkowy pozwalający na przesyłanie informacji do systemu HIS i zaciąganie z systemu HIS minimum danych pacjenta w standardzie HL7 przy użyciu zewnętrznego oprogramowania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35D13">
            <w:pPr>
              <w:snapToGrid w:val="0"/>
              <w:jc w:val="both"/>
              <w:rPr>
                <w:rFonts w:ascii="Century Gothic" w:hAnsi="Century Gothic"/>
                <w:sz w:val="20"/>
                <w:szCs w:val="20"/>
              </w:rPr>
            </w:pPr>
            <w:r w:rsidRPr="00915CAA">
              <w:rPr>
                <w:rFonts w:ascii="Century Gothic" w:hAnsi="Century Gothic"/>
                <w:sz w:val="20"/>
                <w:szCs w:val="20"/>
              </w:rPr>
              <w:t>Podtrzymanie zasilania stacji oraz komunikacji pompa-stacja dokująca oraz stacja dokująca-szpitalna sieć komputerowa w przypadku odłączenia zasilania z gniazda sieciowego przez minimum 60 minut</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Szybkie ładowanie akmumulatorów Stacji roboczej – od całkowitego rozładowania do naładowania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wymiany akumulatora przez użytkownika bez użycia specjalnych narzędzi i wykonywania przeglądu technicznego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rsidTr="00457F86">
        <w:trPr>
          <w:trHeight w:val="1346"/>
        </w:trPr>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Przypomnienie o konieczności podłączenia przewodu zasilającego po jego odłączeniu</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DE0E2E" w:rsidRDefault="00A03535" w:rsidP="002454E8">
            <w:pPr>
              <w:snapToGrid w:val="0"/>
              <w:jc w:val="both"/>
              <w:rPr>
                <w:rFonts w:ascii="Century Gothic" w:hAnsi="Century Gothic"/>
                <w:color w:val="FF0000"/>
                <w:sz w:val="20"/>
                <w:szCs w:val="20"/>
              </w:rPr>
            </w:pPr>
            <w:r w:rsidRPr="00915CAA">
              <w:rPr>
                <w:rFonts w:ascii="Century Gothic" w:hAnsi="Century Gothic"/>
                <w:sz w:val="20"/>
                <w:szCs w:val="20"/>
              </w:rPr>
              <w:t>Oferowane urządzenia muszą spełniać normę                  EN 60601-1 Klasa II, typ CF</w:t>
            </w:r>
            <w:r w:rsidR="00A41482">
              <w:rPr>
                <w:rFonts w:ascii="Century Gothic" w:hAnsi="Century Gothic"/>
                <w:sz w:val="20"/>
                <w:szCs w:val="20"/>
              </w:rPr>
              <w:t xml:space="preserve"> </w:t>
            </w:r>
            <w:r w:rsidR="00A41482" w:rsidRPr="00A41482">
              <w:rPr>
                <w:rFonts w:ascii="Century Gothic" w:hAnsi="Century Gothic"/>
                <w:color w:val="FF0000"/>
                <w:sz w:val="20"/>
                <w:szCs w:val="20"/>
              </w:rPr>
              <w:t>lub</w:t>
            </w:r>
            <w:r w:rsidR="00DE0E2E">
              <w:rPr>
                <w:rFonts w:ascii="Century Gothic" w:hAnsi="Century Gothic"/>
                <w:color w:val="FF0000"/>
                <w:sz w:val="20"/>
                <w:szCs w:val="20"/>
              </w:rPr>
              <w:t>:</w:t>
            </w:r>
          </w:p>
          <w:p w:rsidR="00DE0E2E" w:rsidRDefault="00DE0E2E" w:rsidP="002454E8">
            <w:pPr>
              <w:snapToGrid w:val="0"/>
              <w:jc w:val="both"/>
              <w:rPr>
                <w:rFonts w:ascii="Century Gothic" w:hAnsi="Century Gothic"/>
                <w:color w:val="FF0000"/>
                <w:sz w:val="20"/>
                <w:szCs w:val="20"/>
              </w:rPr>
            </w:pPr>
            <w:r>
              <w:rPr>
                <w:rFonts w:ascii="Century Gothic" w:hAnsi="Century Gothic"/>
                <w:color w:val="FF0000"/>
                <w:sz w:val="20"/>
                <w:szCs w:val="20"/>
              </w:rPr>
              <w:t>-</w:t>
            </w:r>
            <w:r w:rsidR="00A41482" w:rsidRPr="00A41482">
              <w:rPr>
                <w:rFonts w:ascii="Century Gothic" w:hAnsi="Century Gothic"/>
                <w:color w:val="FF0000"/>
                <w:sz w:val="20"/>
                <w:szCs w:val="20"/>
              </w:rPr>
              <w:t xml:space="preserve"> </w:t>
            </w:r>
            <w:r w:rsidR="00A41482" w:rsidRPr="00A41482">
              <w:rPr>
                <w:rFonts w:ascii="Century Gothic" w:hAnsi="Century Gothic"/>
                <w:color w:val="FF0000"/>
                <w:sz w:val="20"/>
                <w:szCs w:val="20"/>
                <w:lang w:eastAsia="pl-PL"/>
              </w:rPr>
              <w:t>urządzenie spełniające normę EN 60601-1 Klasa I, typ CF</w:t>
            </w:r>
            <w:r>
              <w:rPr>
                <w:rFonts w:ascii="Century Gothic" w:hAnsi="Century Gothic"/>
                <w:color w:val="FF0000"/>
                <w:sz w:val="20"/>
                <w:szCs w:val="20"/>
                <w:lang w:eastAsia="pl-PL"/>
              </w:rPr>
              <w:t xml:space="preserve"> </w:t>
            </w:r>
            <w:r w:rsidRPr="00DE0E2E">
              <w:rPr>
                <w:rFonts w:ascii="Century Gothic" w:hAnsi="Century Gothic"/>
                <w:color w:val="FF0000"/>
                <w:sz w:val="20"/>
                <w:szCs w:val="20"/>
              </w:rPr>
              <w:t>lub</w:t>
            </w:r>
            <w:r>
              <w:rPr>
                <w:rFonts w:ascii="Century Gothic" w:hAnsi="Century Gothic"/>
                <w:color w:val="FF0000"/>
                <w:sz w:val="20"/>
                <w:szCs w:val="20"/>
              </w:rPr>
              <w:t>:</w:t>
            </w:r>
          </w:p>
          <w:p w:rsidR="00A03535" w:rsidRPr="00915CAA" w:rsidRDefault="00DE0E2E" w:rsidP="002454E8">
            <w:pPr>
              <w:snapToGrid w:val="0"/>
              <w:jc w:val="both"/>
              <w:rPr>
                <w:rFonts w:ascii="Century Gothic" w:hAnsi="Century Gothic"/>
                <w:sz w:val="20"/>
                <w:szCs w:val="20"/>
              </w:rPr>
            </w:pPr>
            <w:r>
              <w:rPr>
                <w:rFonts w:ascii="Century Gothic" w:hAnsi="Century Gothic"/>
                <w:color w:val="FF0000"/>
                <w:sz w:val="20"/>
                <w:szCs w:val="20"/>
              </w:rPr>
              <w:t>-</w:t>
            </w:r>
            <w:r w:rsidRPr="00DE0E2E">
              <w:rPr>
                <w:rFonts w:ascii="Century Gothic" w:hAnsi="Century Gothic"/>
                <w:color w:val="FF0000"/>
                <w:sz w:val="20"/>
                <w:szCs w:val="20"/>
              </w:rPr>
              <w:t xml:space="preserve"> </w:t>
            </w:r>
            <w:r w:rsidRPr="00DE0E2E">
              <w:rPr>
                <w:rFonts w:ascii="Century Gothic" w:hAnsi="Century Gothic"/>
                <w:color w:val="FF0000"/>
                <w:sz w:val="20"/>
                <w:szCs w:val="20"/>
                <w:lang w:eastAsia="pl-PL"/>
              </w:rPr>
              <w:t>spełniające normy EN 60601-1, typ CF w pierwszej klasie bezpieczeństwa elektrycznego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Objętość zajmowana przez stacje dokującą [cm3]</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DC104A">
            <w:pPr>
              <w:snapToGrid w:val="0"/>
              <w:jc w:val="center"/>
              <w:rPr>
                <w:rFonts w:ascii="Century Gothic" w:hAnsi="Century Gothic"/>
                <w:sz w:val="20"/>
                <w:szCs w:val="20"/>
              </w:rPr>
            </w:pPr>
            <w:r w:rsidRPr="00915CAA">
              <w:rPr>
                <w:rFonts w:ascii="Century Gothic" w:hAnsi="Century Gothic"/>
                <w:sz w:val="20"/>
                <w:szCs w:val="20"/>
              </w:rPr>
              <w:t>2 pkt – najmniejsza, 0 pkt pozostałe</w:t>
            </w:r>
          </w:p>
        </w:tc>
      </w:tr>
      <w:tr w:rsidR="00A03535" w:rsidRPr="00915CAA" w:rsidTr="005D3019">
        <w:tc>
          <w:tcPr>
            <w:tcW w:w="14567" w:type="dxa"/>
            <w:gridSpan w:val="5"/>
            <w:tcBorders>
              <w:top w:val="single" w:sz="4" w:space="0" w:color="auto"/>
              <w:left w:val="single" w:sz="4" w:space="0" w:color="auto"/>
              <w:bottom w:val="single" w:sz="4" w:space="0" w:color="auto"/>
              <w:right w:val="single" w:sz="4" w:space="0" w:color="auto"/>
            </w:tcBorders>
          </w:tcPr>
          <w:p w:rsidR="00A03535" w:rsidRPr="00D74B9E" w:rsidRDefault="00A03535" w:rsidP="002C5FC5">
            <w:pPr>
              <w:snapToGrid w:val="0"/>
              <w:jc w:val="center"/>
              <w:rPr>
                <w:rFonts w:ascii="Century Gothic" w:hAnsi="Century Gothic"/>
                <w:sz w:val="20"/>
                <w:szCs w:val="20"/>
              </w:rPr>
            </w:pPr>
            <w:r w:rsidRPr="00915CAA">
              <w:rPr>
                <w:rFonts w:ascii="Century Gothic" w:hAnsi="Century Gothic"/>
                <w:sz w:val="20"/>
                <w:szCs w:val="20"/>
              </w:rPr>
              <w:t>stacja doku</w:t>
            </w:r>
            <w:r w:rsidR="00D74B9E">
              <w:rPr>
                <w:rFonts w:ascii="Century Gothic" w:hAnsi="Century Gothic"/>
                <w:sz w:val="20"/>
                <w:szCs w:val="20"/>
              </w:rPr>
              <w:t xml:space="preserve">jąca 6 lub 8 pomp COM – </w:t>
            </w:r>
            <w:r w:rsidR="00D74B9E" w:rsidRPr="002C5FC5">
              <w:rPr>
                <w:rFonts w:ascii="Century Gothic" w:hAnsi="Century Gothic"/>
                <w:sz w:val="20"/>
                <w:szCs w:val="20"/>
                <w:highlight w:val="yellow"/>
              </w:rPr>
              <w:t>5</w:t>
            </w:r>
            <w:r w:rsidR="002C5FC5" w:rsidRPr="002C5FC5">
              <w:rPr>
                <w:rFonts w:ascii="Century Gothic" w:hAnsi="Century Gothic"/>
                <w:sz w:val="20"/>
                <w:szCs w:val="20"/>
                <w:highlight w:val="yellow"/>
              </w:rPr>
              <w:t>6</w:t>
            </w:r>
            <w:r w:rsidR="00D74B9E" w:rsidRPr="002C5FC5">
              <w:rPr>
                <w:rFonts w:ascii="Century Gothic" w:hAnsi="Century Gothic"/>
                <w:sz w:val="20"/>
                <w:szCs w:val="20"/>
                <w:highlight w:val="yellow"/>
              </w:rPr>
              <w:t xml:space="preserve"> szt.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Default="00A03535" w:rsidP="00AC5DFF">
            <w:pPr>
              <w:snapToGrid w:val="0"/>
              <w:jc w:val="both"/>
              <w:rPr>
                <w:rFonts w:ascii="Century Gothic" w:hAnsi="Century Gothic"/>
                <w:sz w:val="20"/>
                <w:szCs w:val="20"/>
              </w:rPr>
            </w:pPr>
            <w:r w:rsidRPr="00915CAA">
              <w:rPr>
                <w:rFonts w:ascii="Century Gothic" w:hAnsi="Century Gothic"/>
                <w:sz w:val="20"/>
                <w:szCs w:val="20"/>
              </w:rPr>
              <w:t>Możliwość maksymalnego dokowania w stacji roboczej przynajmniej 6 - 8 pomp infuzyjnych</w:t>
            </w:r>
            <w:r w:rsidR="007B6850">
              <w:rPr>
                <w:rFonts w:ascii="Century Gothic" w:hAnsi="Century Gothic"/>
                <w:sz w:val="20"/>
                <w:szCs w:val="20"/>
              </w:rPr>
              <w:t>.</w:t>
            </w:r>
          </w:p>
          <w:p w:rsidR="007B6850" w:rsidRPr="00915CAA" w:rsidRDefault="007B6850" w:rsidP="00AC5DFF">
            <w:pPr>
              <w:snapToGrid w:val="0"/>
              <w:jc w:val="both"/>
              <w:rPr>
                <w:rFonts w:ascii="Century Gothic" w:hAnsi="Century Gothic"/>
                <w:sz w:val="20"/>
                <w:szCs w:val="20"/>
              </w:rPr>
            </w:pPr>
            <w:r w:rsidRPr="007B6850">
              <w:rPr>
                <w:rFonts w:ascii="Century Gothic" w:hAnsi="Century Gothic"/>
                <w:color w:val="FF0000"/>
                <w:sz w:val="16"/>
                <w:szCs w:val="16"/>
              </w:rPr>
              <w:t xml:space="preserve">Uwaga – Zamawiający dopuszcza </w:t>
            </w:r>
            <w:r w:rsidRPr="007B6850">
              <w:rPr>
                <w:rFonts w:ascii="Century Gothic" w:hAnsi="Century Gothic"/>
                <w:color w:val="FF0000"/>
                <w:sz w:val="16"/>
                <w:szCs w:val="16"/>
                <w:lang w:eastAsia="pl-PL"/>
              </w:rPr>
              <w:t>rozwiązanie polegające na możliwości użycia jednego portu komunikacyjnego (COM) na jedno stanowisko</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Dwustronna Komunikacja z pompami infuzyjnymi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System zatrzaskowego mocowania pomp w stacji dokującej</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1 pkt – dowolna konfiguracja układu i ilości pomp strzykawkowych i objętościowych, 0 – pkt brak elastyczności</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Wspólne zasilanie pomp ze stacji dokującej</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Ładowanie pomp natychmiast po podłączeniu do stacji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na stojaku jezdnym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do kolumn pionowych (uwzględniających wagę zestawu łącznie z pompami)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0,5 - pkt-najmniejsza waga, 0 pkt - pozostałe</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z wykorzystaniem standardowych szyn medycznych</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trike/>
                <w:sz w:val="20"/>
                <w:szCs w:val="20"/>
              </w:rPr>
            </w:pPr>
            <w:r w:rsidRPr="00915CAA">
              <w:rPr>
                <w:rFonts w:ascii="Century Gothic" w:hAnsi="Century Gothic"/>
                <w:sz w:val="20"/>
                <w:szCs w:val="20"/>
              </w:rPr>
              <w:t xml:space="preserve">Wieszak na worki z płynami infuzyjnymi o regulowanej wysokości z możliwością jego demontażu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9139C7">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Łatwo dostrzegalna panel sygnalizacyjny</w:t>
            </w:r>
            <w:r w:rsidRPr="00915CAA">
              <w:rPr>
                <w:rFonts w:ascii="Century Gothic" w:hAnsi="Century Gothic"/>
                <w:strike/>
                <w:sz w:val="20"/>
                <w:szCs w:val="20"/>
              </w:rPr>
              <w:t xml:space="preserve"> </w:t>
            </w:r>
            <w:r w:rsidRPr="00915CAA">
              <w:rPr>
                <w:rFonts w:ascii="Century Gothic" w:hAnsi="Century Gothic"/>
                <w:sz w:val="20"/>
                <w:szCs w:val="20"/>
              </w:rPr>
              <w:t xml:space="preserve">wskazujący stan pompy zamocowanej do stacji: </w:t>
            </w:r>
            <w:r w:rsidRPr="006C444C">
              <w:rPr>
                <w:rFonts w:ascii="Century Gothic" w:hAnsi="Century Gothic"/>
                <w:strike/>
                <w:color w:val="FF0000"/>
                <w:sz w:val="20"/>
                <w:szCs w:val="20"/>
              </w:rPr>
              <w:t>praca, alarm wstępny, alarm końcowy</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snapToGrid w:val="0"/>
              <w:jc w:val="both"/>
              <w:rPr>
                <w:rFonts w:ascii="Century Gothic" w:hAnsi="Century Gothic"/>
                <w:sz w:val="20"/>
                <w:szCs w:val="20"/>
              </w:rPr>
            </w:pPr>
            <w:r w:rsidRPr="00915CAA">
              <w:rPr>
                <w:rFonts w:ascii="Century Gothic" w:hAnsi="Century Gothic"/>
                <w:sz w:val="20"/>
                <w:szCs w:val="20"/>
              </w:rPr>
              <w:t>Opcjonalna możliwość przyszłościowego włączenia roboczych stacji dokujących w system centralnego monitorowania infuzji oraz serwerowy system do zdalnego przesyłania zestawów danych i automatycznego zbierania danych infuzji</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 przypadku rozbudowy system musi posiadać minimum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8913F8">
            <w:pPr>
              <w:snapToGrid w:val="0"/>
              <w:jc w:val="center"/>
              <w:rPr>
                <w:rFonts w:ascii="Century Gothic" w:hAnsi="Century Gothic"/>
                <w:sz w:val="20"/>
                <w:szCs w:val="20"/>
              </w:rPr>
            </w:pPr>
          </w:p>
          <w:p w:rsidR="00A03535" w:rsidRPr="00915CAA" w:rsidRDefault="00A03535" w:rsidP="008913F8">
            <w:pPr>
              <w:snapToGrid w:val="0"/>
              <w:jc w:val="center"/>
              <w:rPr>
                <w:rFonts w:ascii="Century Gothic" w:hAnsi="Century Gothic"/>
                <w:sz w:val="20"/>
                <w:szCs w:val="20"/>
              </w:rPr>
            </w:pPr>
            <w:r w:rsidRPr="00915CAA">
              <w:rPr>
                <w:rFonts w:ascii="Century Gothic" w:hAnsi="Century Gothic"/>
                <w:sz w:val="20"/>
                <w:szCs w:val="20"/>
              </w:rPr>
              <w:t>TAK</w:t>
            </w:r>
          </w:p>
          <w:p w:rsidR="00A03535" w:rsidRPr="00915CAA" w:rsidRDefault="00A03535" w:rsidP="008913F8">
            <w:pPr>
              <w:snapToGrid w:val="0"/>
              <w:jc w:val="center"/>
              <w:rPr>
                <w:rFonts w:ascii="Century Gothic" w:hAnsi="Century Gothic"/>
                <w:sz w:val="20"/>
                <w:szCs w:val="20"/>
              </w:rPr>
            </w:pPr>
          </w:p>
          <w:p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kompatybilność stacji dokujących z oprogramowaniem umożliwiającym centralne monitorowanie infuzji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9139C7">
            <w:pPr>
              <w:snapToGrid w:val="0"/>
              <w:jc w:val="both"/>
              <w:rPr>
                <w:rFonts w:ascii="Century Gothic" w:hAnsi="Century Gothic"/>
                <w:sz w:val="20"/>
                <w:szCs w:val="20"/>
              </w:rPr>
            </w:pPr>
            <w:r w:rsidRPr="00915CAA">
              <w:rPr>
                <w:rFonts w:ascii="Century Gothic" w:hAnsi="Century Gothic"/>
                <w:sz w:val="20"/>
                <w:szCs w:val="20"/>
              </w:rPr>
              <w:t xml:space="preserve">- możliwość jednoczasowego wyświetlania na jednym monitorze wszystkich stanowisk infuzji, bez konieczności, wywoływania kolejnych ekranów wymagana jest jednoczasowa obserwacja do min. </w:t>
            </w:r>
            <w:r w:rsidRPr="00915CAA">
              <w:rPr>
                <w:rFonts w:ascii="Century Gothic" w:hAnsi="Century Gothic"/>
                <w:sz w:val="20"/>
                <w:szCs w:val="20"/>
              </w:rPr>
              <w:lastRenderedPageBreak/>
              <w:t>12 stanowisk infuzji jednoczasowo</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wizualne rozróżnienie, różnych terapii dożylnych, w centrali monitorowania ( np. terapi TCI, TIVA, Enteral itp )w pompach objętościowych i strzykawkowych</w:t>
            </w:r>
            <w:r w:rsidRPr="00915CAA">
              <w:rPr>
                <w:rFonts w:ascii="Century Gothic" w:hAnsi="Century Gothic"/>
                <w:color w:val="FF0000"/>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9139C7">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wyświetlanie alarmów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przeglądanie historii infuzji u każdego pacjenta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tworzenie bilansu płynów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 transfer zestawów danych do i z pomp poprzez sieć szpitalną, bez konieczności przerywania infuzji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natychmiastowa możliwość zlokalizowania pomp w systemie</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Komunikacja ze szpitalną siecią komputerową i bezpośrednio z komputerem za pomocą interfejsu Ethernet lub/i za pomocą bezprzewodowego połączenia sieciowego</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Możliwość rozbudowy stacji o adapter do łączności bezprzewodowej ze szpitalną siecią komputerową</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Default="00A41482" w:rsidP="003F3593">
            <w:pPr>
              <w:snapToGrid w:val="0"/>
              <w:jc w:val="center"/>
              <w:rPr>
                <w:rFonts w:ascii="Century Gothic" w:hAnsi="Century Gothic"/>
                <w:strike/>
                <w:color w:val="FF0000"/>
                <w:sz w:val="20"/>
                <w:szCs w:val="20"/>
              </w:rPr>
            </w:pPr>
            <w:r w:rsidRPr="002D5F76">
              <w:rPr>
                <w:rFonts w:ascii="Century Gothic" w:hAnsi="Century Gothic"/>
                <w:strike/>
                <w:color w:val="FF0000"/>
                <w:sz w:val="20"/>
                <w:szCs w:val="20"/>
              </w:rPr>
              <w:t>TAK</w:t>
            </w:r>
          </w:p>
          <w:p w:rsidR="00A41482" w:rsidRDefault="00A41482" w:rsidP="003F3593">
            <w:pPr>
              <w:snapToGrid w:val="0"/>
              <w:jc w:val="center"/>
              <w:rPr>
                <w:rFonts w:ascii="Century Gothic" w:hAnsi="Century Gothic"/>
                <w:strike/>
                <w:color w:val="FF0000"/>
                <w:sz w:val="20"/>
                <w:szCs w:val="20"/>
              </w:rPr>
            </w:pPr>
          </w:p>
          <w:p w:rsidR="00A41482" w:rsidRPr="002D5F76" w:rsidRDefault="00A41482" w:rsidP="003F3593">
            <w:pPr>
              <w:snapToGrid w:val="0"/>
              <w:jc w:val="center"/>
              <w:rPr>
                <w:rFonts w:ascii="Century Gothic" w:hAnsi="Century Gothic"/>
                <w:sz w:val="20"/>
                <w:szCs w:val="20"/>
              </w:rPr>
            </w:pPr>
            <w:r>
              <w:rPr>
                <w:rFonts w:ascii="Century Gothic" w:hAnsi="Century Gothic"/>
                <w:color w:val="FF0000"/>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3F3593">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2D5F76" w:rsidRDefault="00A41482" w:rsidP="003F3593">
            <w:pPr>
              <w:pBdr>
                <w:bottom w:val="single" w:sz="6" w:space="1" w:color="auto"/>
              </w:pBdr>
              <w:snapToGrid w:val="0"/>
              <w:jc w:val="center"/>
              <w:rPr>
                <w:rFonts w:ascii="Century Gothic" w:hAnsi="Century Gothic"/>
                <w:color w:val="FF0000"/>
                <w:sz w:val="20"/>
                <w:szCs w:val="20"/>
              </w:rPr>
            </w:pPr>
          </w:p>
          <w:p w:rsidR="00A41482" w:rsidRPr="002D5F76" w:rsidRDefault="00A41482" w:rsidP="003F3593">
            <w:pPr>
              <w:snapToGrid w:val="0"/>
              <w:jc w:val="center"/>
              <w:rPr>
                <w:rFonts w:ascii="Century Gothic" w:hAnsi="Century Gothic"/>
                <w:color w:val="FF0000"/>
                <w:sz w:val="20"/>
                <w:szCs w:val="20"/>
              </w:rPr>
            </w:pPr>
          </w:p>
          <w:p w:rsidR="00A41482" w:rsidRPr="002D5F76" w:rsidRDefault="00A41482" w:rsidP="003F3593">
            <w:pPr>
              <w:snapToGrid w:val="0"/>
              <w:jc w:val="center"/>
              <w:rPr>
                <w:rFonts w:ascii="Century Gothic" w:hAnsi="Century Gothic"/>
                <w:color w:val="FF0000"/>
                <w:sz w:val="20"/>
                <w:szCs w:val="20"/>
              </w:rPr>
            </w:pPr>
            <w:r w:rsidRPr="002D5F76">
              <w:rPr>
                <w:rFonts w:ascii="Century Gothic" w:hAnsi="Century Gothic"/>
                <w:color w:val="FF0000"/>
                <w:sz w:val="20"/>
                <w:szCs w:val="20"/>
              </w:rPr>
              <w:t>tak – 3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Możliwość przeglądania z zewnętrznego komputera lub komputera w sieci statusu infuzji i rejestru zdarzeń stacji z wykorzystaniem standardowej przeglądarki internetowej</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Kompatybilność z systemem PDMS co najmniej dla firm Philips, Draeger, GE, LowTec, iMDsoft, CapsuleTech, Epic</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Zabezpieczenie interfejsu konfiguracyjnego stacji dokującej hasłem</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Interfejs komunikacyjny dwukierunkowy pozwalający na przesyłanie informacji do systemu HIS i zaciąganie z systemu HIS minimum danych pacjenta w standardzie HL7 przy użyciu zewnętrznego oprogramowania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Podtrzymanie zasilania stacji oraz komunikacji pompa-stacja dokująca oraz stacja dokująca-szpitalna sieć komputerowa w przypadku odłączenia zasilania z gniazda sieciowego przez minimum 60 minut</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xml:space="preserve">Szybkie ładowanie akmumulatorów Stacji roboczej – od całkowitego rozładowania do naładowania </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Możliwość wymiany akumulatora przez użytkownika bez użycia specjalnych narzędzi i wykonywania przeglądu technicznego</w:t>
            </w:r>
          </w:p>
        </w:tc>
        <w:tc>
          <w:tcPr>
            <w:tcW w:w="1559"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BF2BCD">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Przypomnienie o konieczności podłączenia przewodu zasilającego po jego odłączeniu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DE0E2E" w:rsidRDefault="00A41482" w:rsidP="002454E8">
            <w:pPr>
              <w:snapToGrid w:val="0"/>
              <w:jc w:val="both"/>
              <w:rPr>
                <w:rFonts w:ascii="Century Gothic" w:hAnsi="Century Gothic"/>
                <w:color w:val="FF0000"/>
                <w:sz w:val="20"/>
                <w:szCs w:val="20"/>
              </w:rPr>
            </w:pPr>
            <w:r w:rsidRPr="00915CAA">
              <w:rPr>
                <w:rFonts w:ascii="Century Gothic" w:hAnsi="Century Gothic"/>
                <w:sz w:val="20"/>
                <w:szCs w:val="20"/>
              </w:rPr>
              <w:t>Oferowane urządzenia muszą spełniać normę                  EN 60601-1 Klasa II, typ CF</w:t>
            </w:r>
            <w:r w:rsidR="00471E4F">
              <w:rPr>
                <w:rFonts w:ascii="Century Gothic" w:hAnsi="Century Gothic"/>
                <w:sz w:val="20"/>
                <w:szCs w:val="20"/>
              </w:rPr>
              <w:t xml:space="preserve"> </w:t>
            </w:r>
            <w:r w:rsidR="00471E4F" w:rsidRPr="00471E4F">
              <w:rPr>
                <w:rFonts w:ascii="Century Gothic" w:hAnsi="Century Gothic"/>
                <w:color w:val="FF0000"/>
                <w:sz w:val="20"/>
                <w:szCs w:val="20"/>
              </w:rPr>
              <w:t>lub</w:t>
            </w:r>
            <w:r w:rsidR="00DE0E2E">
              <w:rPr>
                <w:rFonts w:ascii="Century Gothic" w:hAnsi="Century Gothic"/>
                <w:color w:val="FF0000"/>
                <w:sz w:val="20"/>
                <w:szCs w:val="20"/>
              </w:rPr>
              <w:t>:</w:t>
            </w:r>
          </w:p>
          <w:p w:rsidR="00A41482" w:rsidRDefault="00DE0E2E" w:rsidP="002454E8">
            <w:pPr>
              <w:snapToGrid w:val="0"/>
              <w:jc w:val="both"/>
              <w:rPr>
                <w:rFonts w:ascii="Century Gothic" w:hAnsi="Century Gothic"/>
                <w:color w:val="FF0000"/>
                <w:sz w:val="20"/>
                <w:szCs w:val="20"/>
                <w:lang w:eastAsia="pl-PL"/>
              </w:rPr>
            </w:pPr>
            <w:r>
              <w:rPr>
                <w:rFonts w:ascii="Century Gothic" w:hAnsi="Century Gothic"/>
                <w:color w:val="FF0000"/>
                <w:sz w:val="20"/>
                <w:szCs w:val="20"/>
              </w:rPr>
              <w:t>-</w:t>
            </w:r>
            <w:r w:rsidR="00471E4F" w:rsidRPr="00471E4F">
              <w:rPr>
                <w:rFonts w:ascii="Century Gothic" w:hAnsi="Century Gothic"/>
                <w:color w:val="FF0000"/>
                <w:sz w:val="20"/>
                <w:szCs w:val="20"/>
              </w:rPr>
              <w:t xml:space="preserve"> </w:t>
            </w:r>
            <w:r w:rsidR="00471E4F" w:rsidRPr="00471E4F">
              <w:rPr>
                <w:rFonts w:ascii="Century Gothic" w:hAnsi="Century Gothic"/>
                <w:color w:val="FF0000"/>
                <w:sz w:val="20"/>
                <w:szCs w:val="20"/>
                <w:lang w:eastAsia="pl-PL"/>
              </w:rPr>
              <w:t>urządzenie spełniające normę EN 60601-1 Klasa I, typ CF</w:t>
            </w:r>
            <w:r>
              <w:rPr>
                <w:rFonts w:ascii="Century Gothic" w:hAnsi="Century Gothic"/>
                <w:color w:val="FF0000"/>
                <w:sz w:val="20"/>
                <w:szCs w:val="20"/>
                <w:lang w:eastAsia="pl-PL"/>
              </w:rPr>
              <w:t>, lub:</w:t>
            </w:r>
          </w:p>
          <w:p w:rsidR="00DE0E2E" w:rsidRPr="00915CAA" w:rsidRDefault="00DE0E2E" w:rsidP="00DE0E2E">
            <w:pPr>
              <w:snapToGrid w:val="0"/>
              <w:jc w:val="both"/>
              <w:rPr>
                <w:rFonts w:ascii="Century Gothic" w:hAnsi="Century Gothic"/>
                <w:sz w:val="20"/>
                <w:szCs w:val="20"/>
              </w:rPr>
            </w:pPr>
            <w:r>
              <w:rPr>
                <w:rFonts w:ascii="Century Gothic" w:hAnsi="Century Gothic"/>
                <w:color w:val="FF0000"/>
                <w:sz w:val="20"/>
                <w:szCs w:val="20"/>
                <w:lang w:eastAsia="pl-PL"/>
              </w:rPr>
              <w:t>- s</w:t>
            </w:r>
            <w:r w:rsidRPr="00DE0E2E">
              <w:rPr>
                <w:rFonts w:ascii="Century Gothic" w:hAnsi="Century Gothic"/>
                <w:color w:val="FF0000"/>
                <w:sz w:val="20"/>
                <w:szCs w:val="20"/>
                <w:lang w:eastAsia="pl-PL"/>
              </w:rPr>
              <w:t>pełniające normy EN 60601-1, typ CF w pierwszej klasie bezpieczeństwa elektrycznego</w:t>
            </w:r>
          </w:p>
        </w:tc>
        <w:tc>
          <w:tcPr>
            <w:tcW w:w="1559"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Objętość zajmowana przez stacje dokującą [cm3]</w:t>
            </w:r>
          </w:p>
        </w:tc>
        <w:tc>
          <w:tcPr>
            <w:tcW w:w="1559"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2 pkt – najmniejsza, 0 pkt pozostałe</w:t>
            </w:r>
          </w:p>
        </w:tc>
      </w:tr>
      <w:tr w:rsidR="00A41482" w:rsidRPr="00915CAA" w:rsidTr="00FD367C">
        <w:tc>
          <w:tcPr>
            <w:tcW w:w="14567" w:type="dxa"/>
            <w:gridSpan w:val="5"/>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jc w:val="center"/>
              <w:rPr>
                <w:rFonts w:ascii="Century Gothic" w:hAnsi="Century Gothic"/>
                <w:sz w:val="20"/>
                <w:szCs w:val="20"/>
              </w:rPr>
            </w:pPr>
            <w:r w:rsidRPr="00915CAA">
              <w:rPr>
                <w:rFonts w:ascii="Century Gothic" w:hAnsi="Century Gothic"/>
                <w:sz w:val="20"/>
                <w:szCs w:val="20"/>
              </w:rPr>
              <w:t>Oprogramowanie z licencjami bezterminowymi do zarządzania infuzją – 1 szt. dla 65 stanowisk OIOM; w okresie użytkowania aktualizacje do najnowszych wersji</w:t>
            </w:r>
            <w:r>
              <w:rPr>
                <w:rFonts w:ascii="Century Gothic" w:hAnsi="Century Gothic"/>
                <w:sz w:val="20"/>
                <w:szCs w:val="20"/>
              </w:rPr>
              <w:t xml:space="preserve"> (w cenie oferty)</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Platforma aplikacji do bezpiecznego i efektywnego zarządzania infuzją</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027AE6">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DB46DA" w:rsidRDefault="00A41482" w:rsidP="002454E8">
            <w:pPr>
              <w:snapToGrid w:val="0"/>
              <w:jc w:val="both"/>
              <w:rPr>
                <w:rFonts w:ascii="Century Gothic" w:hAnsi="Century Gothic"/>
                <w:sz w:val="20"/>
                <w:szCs w:val="20"/>
                <w:highlight w:val="yellow"/>
              </w:rPr>
            </w:pPr>
            <w:r w:rsidRPr="00DB46DA">
              <w:rPr>
                <w:rFonts w:ascii="Century Gothic" w:hAnsi="Century Gothic"/>
                <w:sz w:val="20"/>
                <w:szCs w:val="20"/>
                <w:highlight w:val="yellow"/>
              </w:rPr>
              <w:t xml:space="preserve">Łączność ze stacjami dokującymi przy łóżku pacjenta odbywa się poprzez sieć Ethernet lub WiFi </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DB46DA" w:rsidRDefault="00A41482" w:rsidP="002454E8">
            <w:pPr>
              <w:snapToGrid w:val="0"/>
              <w:jc w:val="center"/>
              <w:rPr>
                <w:rFonts w:ascii="Century Gothic" w:hAnsi="Century Gothic"/>
                <w:sz w:val="20"/>
                <w:szCs w:val="20"/>
                <w:highlight w:val="yellow"/>
              </w:rPr>
            </w:pPr>
            <w:r w:rsidRPr="00DB46DA">
              <w:rPr>
                <w:rFonts w:ascii="Century Gothic" w:hAnsi="Century Gothic"/>
                <w:sz w:val="20"/>
                <w:szCs w:val="20"/>
                <w:highlight w:val="yellow"/>
              </w:rPr>
              <w:t>Tak</w:t>
            </w:r>
          </w:p>
        </w:tc>
        <w:tc>
          <w:tcPr>
            <w:tcW w:w="4534" w:type="dxa"/>
            <w:tcBorders>
              <w:top w:val="single" w:sz="4" w:space="0" w:color="auto"/>
              <w:left w:val="single" w:sz="4" w:space="0" w:color="auto"/>
              <w:bottom w:val="single" w:sz="4" w:space="0" w:color="auto"/>
              <w:right w:val="single" w:sz="4" w:space="0" w:color="auto"/>
            </w:tcBorders>
          </w:tcPr>
          <w:p w:rsidR="00A41482" w:rsidRPr="00DB46DA" w:rsidRDefault="00A41482" w:rsidP="002454E8">
            <w:pPr>
              <w:pStyle w:val="Standard"/>
              <w:snapToGrid w:val="0"/>
              <w:jc w:val="both"/>
              <w:rPr>
                <w:rFonts w:ascii="Century Gothic" w:hAnsi="Century Gothic"/>
                <w:color w:val="FF0000"/>
                <w:sz w:val="20"/>
                <w:szCs w:val="20"/>
                <w:highlight w:val="yellow"/>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DB46DA" w:rsidRDefault="00A41482" w:rsidP="00DB46DA">
            <w:pPr>
              <w:snapToGrid w:val="0"/>
              <w:jc w:val="center"/>
              <w:rPr>
                <w:rFonts w:ascii="Century Gothic" w:hAnsi="Century Gothic"/>
                <w:sz w:val="20"/>
                <w:szCs w:val="20"/>
                <w:highlight w:val="yellow"/>
              </w:rPr>
            </w:pPr>
            <w:r w:rsidRPr="00DB46DA">
              <w:rPr>
                <w:rFonts w:ascii="Century Gothic" w:hAnsi="Century Gothic"/>
                <w:sz w:val="20"/>
                <w:szCs w:val="20"/>
                <w:highlight w:val="yellow"/>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Oprogramowanie jest niezależne od specyficznego PC/Serwera, systemu operacyjnego i bazy danych</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Wszyscy klienci są połączeni poprzez HTTPS i przeglądarkę internetową, nie potrzeba żadnych szczególnych instalacji oprogramowania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DB46DA" w:rsidRDefault="00A41482" w:rsidP="002454E8">
            <w:pPr>
              <w:snapToGrid w:val="0"/>
              <w:jc w:val="both"/>
              <w:rPr>
                <w:rFonts w:ascii="Century Gothic" w:hAnsi="Century Gothic"/>
                <w:sz w:val="20"/>
                <w:szCs w:val="20"/>
                <w:highlight w:val="yellow"/>
              </w:rPr>
            </w:pPr>
            <w:r w:rsidRPr="00DB46DA">
              <w:rPr>
                <w:rFonts w:ascii="Century Gothic" w:hAnsi="Century Gothic"/>
                <w:sz w:val="20"/>
                <w:szCs w:val="20"/>
                <w:highlight w:val="yellow"/>
              </w:rPr>
              <w:t>Przydział odpowiednich uprawnień dla użytkowników, dostęp zabezpieczony hasłem</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DB46DA" w:rsidRDefault="00A41482" w:rsidP="002454E8">
            <w:pPr>
              <w:snapToGrid w:val="0"/>
              <w:jc w:val="center"/>
              <w:rPr>
                <w:rFonts w:ascii="Century Gothic" w:hAnsi="Century Gothic"/>
                <w:sz w:val="20"/>
                <w:szCs w:val="20"/>
                <w:highlight w:val="yellow"/>
              </w:rPr>
            </w:pPr>
            <w:r w:rsidRPr="00DB46DA">
              <w:rPr>
                <w:rFonts w:ascii="Century Gothic" w:hAnsi="Century Gothic"/>
                <w:sz w:val="20"/>
                <w:szCs w:val="20"/>
                <w:highlight w:val="yellow"/>
              </w:rPr>
              <w:t>Tak</w:t>
            </w:r>
          </w:p>
        </w:tc>
        <w:tc>
          <w:tcPr>
            <w:tcW w:w="4534" w:type="dxa"/>
            <w:tcBorders>
              <w:top w:val="single" w:sz="4" w:space="0" w:color="auto"/>
              <w:left w:val="single" w:sz="4" w:space="0" w:color="auto"/>
              <w:bottom w:val="single" w:sz="4" w:space="0" w:color="auto"/>
              <w:right w:val="single" w:sz="4" w:space="0" w:color="auto"/>
            </w:tcBorders>
          </w:tcPr>
          <w:p w:rsidR="00A41482" w:rsidRPr="00DB46DA" w:rsidRDefault="00A41482" w:rsidP="002454E8">
            <w:pPr>
              <w:pStyle w:val="Standard"/>
              <w:snapToGrid w:val="0"/>
              <w:jc w:val="both"/>
              <w:rPr>
                <w:rFonts w:ascii="Century Gothic" w:hAnsi="Century Gothic"/>
                <w:color w:val="FF0000"/>
                <w:sz w:val="20"/>
                <w:szCs w:val="20"/>
                <w:highlight w:val="yellow"/>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DB46DA" w:rsidRDefault="00A41482" w:rsidP="00DB46DA">
            <w:pPr>
              <w:snapToGrid w:val="0"/>
              <w:jc w:val="center"/>
              <w:rPr>
                <w:rFonts w:ascii="Century Gothic" w:hAnsi="Century Gothic"/>
                <w:sz w:val="20"/>
                <w:szCs w:val="20"/>
                <w:highlight w:val="yellow"/>
              </w:rPr>
            </w:pPr>
            <w:r w:rsidRPr="00DB46DA">
              <w:rPr>
                <w:rFonts w:ascii="Century Gothic" w:hAnsi="Century Gothic"/>
                <w:sz w:val="20"/>
                <w:szCs w:val="20"/>
                <w:highlight w:val="yellow"/>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Moduł obserwacji infuzji</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DB46DA" w:rsidRDefault="00A41482" w:rsidP="002454E8">
            <w:pPr>
              <w:snapToGrid w:val="0"/>
              <w:jc w:val="both"/>
              <w:rPr>
                <w:rFonts w:ascii="Century Gothic" w:hAnsi="Century Gothic"/>
                <w:sz w:val="20"/>
                <w:szCs w:val="20"/>
                <w:highlight w:val="yellow"/>
              </w:rPr>
            </w:pPr>
            <w:r w:rsidRPr="00DB46DA">
              <w:rPr>
                <w:rFonts w:ascii="Century Gothic" w:hAnsi="Century Gothic"/>
                <w:sz w:val="20"/>
                <w:szCs w:val="20"/>
                <w:highlight w:val="yellow"/>
              </w:rPr>
              <w:t xml:space="preserve">Oprogramowanie do monitorowania przebiegu infuzji na poszczególnych stanowiskach z wyszczególnieniem leków, dawek, stężeń oraz danych o ilościach płynów podanych, bądź pozostałych do końca infuzji.  </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DB46DA" w:rsidRDefault="00A41482" w:rsidP="002454E8">
            <w:pPr>
              <w:snapToGrid w:val="0"/>
              <w:jc w:val="center"/>
              <w:rPr>
                <w:rFonts w:ascii="Century Gothic" w:hAnsi="Century Gothic"/>
                <w:sz w:val="20"/>
                <w:szCs w:val="20"/>
                <w:highlight w:val="yellow"/>
              </w:rPr>
            </w:pPr>
            <w:r w:rsidRPr="00DB46DA">
              <w:rPr>
                <w:rFonts w:ascii="Century Gothic" w:hAnsi="Century Gothic"/>
                <w:sz w:val="20"/>
                <w:szCs w:val="20"/>
                <w:highlight w:val="yellow"/>
              </w:rPr>
              <w:t>Tak</w:t>
            </w:r>
          </w:p>
        </w:tc>
        <w:tc>
          <w:tcPr>
            <w:tcW w:w="4534" w:type="dxa"/>
            <w:tcBorders>
              <w:top w:val="single" w:sz="4" w:space="0" w:color="auto"/>
              <w:left w:val="single" w:sz="4" w:space="0" w:color="auto"/>
              <w:bottom w:val="single" w:sz="4" w:space="0" w:color="auto"/>
              <w:right w:val="single" w:sz="4" w:space="0" w:color="auto"/>
            </w:tcBorders>
          </w:tcPr>
          <w:p w:rsidR="00A41482" w:rsidRPr="00DB46DA" w:rsidRDefault="00A41482" w:rsidP="002454E8">
            <w:pPr>
              <w:pStyle w:val="Standard"/>
              <w:snapToGrid w:val="0"/>
              <w:jc w:val="both"/>
              <w:rPr>
                <w:rFonts w:ascii="Century Gothic" w:hAnsi="Century Gothic"/>
                <w:color w:val="FF0000"/>
                <w:sz w:val="20"/>
                <w:szCs w:val="20"/>
                <w:highlight w:val="yellow"/>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DB46DA" w:rsidRDefault="00A41482" w:rsidP="00DB46DA">
            <w:pPr>
              <w:snapToGrid w:val="0"/>
              <w:jc w:val="center"/>
              <w:rPr>
                <w:rFonts w:ascii="Century Gothic" w:hAnsi="Century Gothic"/>
                <w:sz w:val="20"/>
                <w:szCs w:val="20"/>
                <w:highlight w:val="yellow"/>
              </w:rPr>
            </w:pPr>
            <w:r w:rsidRPr="00DB46DA">
              <w:rPr>
                <w:rFonts w:ascii="Century Gothic" w:hAnsi="Century Gothic"/>
                <w:sz w:val="20"/>
                <w:szCs w:val="20"/>
                <w:highlight w:val="yellow"/>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Na ekranie komputera system wyświetla: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Schemat rozmieszczenia łóżek zbliżony do rzeczywistego</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Informacje o pacjencie</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DB46DA" w:rsidRDefault="00A41482" w:rsidP="002454E8">
            <w:pPr>
              <w:snapToGrid w:val="0"/>
              <w:jc w:val="both"/>
              <w:rPr>
                <w:rFonts w:ascii="Century Gothic" w:hAnsi="Century Gothic"/>
                <w:sz w:val="20"/>
                <w:szCs w:val="20"/>
                <w:highlight w:val="yellow"/>
              </w:rPr>
            </w:pPr>
            <w:r w:rsidRPr="00DB46DA">
              <w:rPr>
                <w:rFonts w:ascii="Century Gothic" w:hAnsi="Century Gothic"/>
                <w:sz w:val="20"/>
                <w:szCs w:val="20"/>
                <w:highlight w:val="yellow"/>
              </w:rPr>
              <w:t>Okno zawierające informacje o bieżących infuzjach, terminach zakończenia infuzji w poszczególnych pompach - zbliżające się alarmy wstępne (np. zbliżający się koniec infuzji)</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DB46DA" w:rsidRDefault="00A41482" w:rsidP="002454E8">
            <w:pPr>
              <w:snapToGrid w:val="0"/>
              <w:jc w:val="center"/>
              <w:rPr>
                <w:rFonts w:ascii="Century Gothic" w:hAnsi="Century Gothic"/>
                <w:sz w:val="20"/>
                <w:szCs w:val="20"/>
                <w:highlight w:val="yellow"/>
              </w:rPr>
            </w:pPr>
            <w:r w:rsidRPr="00DB46DA">
              <w:rPr>
                <w:rFonts w:ascii="Century Gothic" w:hAnsi="Century Gothic"/>
                <w:sz w:val="20"/>
                <w:szCs w:val="20"/>
                <w:highlight w:val="yellow"/>
              </w:rPr>
              <w:t>Tak</w:t>
            </w:r>
          </w:p>
        </w:tc>
        <w:tc>
          <w:tcPr>
            <w:tcW w:w="4534" w:type="dxa"/>
            <w:tcBorders>
              <w:top w:val="single" w:sz="4" w:space="0" w:color="auto"/>
              <w:left w:val="single" w:sz="4" w:space="0" w:color="auto"/>
              <w:bottom w:val="single" w:sz="4" w:space="0" w:color="auto"/>
              <w:right w:val="single" w:sz="4" w:space="0" w:color="auto"/>
            </w:tcBorders>
          </w:tcPr>
          <w:p w:rsidR="00A41482" w:rsidRPr="00DB46DA" w:rsidRDefault="00A41482" w:rsidP="002454E8">
            <w:pPr>
              <w:pStyle w:val="Standard"/>
              <w:snapToGrid w:val="0"/>
              <w:jc w:val="both"/>
              <w:rPr>
                <w:rFonts w:ascii="Century Gothic" w:hAnsi="Century Gothic"/>
                <w:color w:val="FF0000"/>
                <w:sz w:val="20"/>
                <w:szCs w:val="20"/>
                <w:highlight w:val="yellow"/>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DB46DA" w:rsidRDefault="00A41482" w:rsidP="00DB46DA">
            <w:pPr>
              <w:snapToGrid w:val="0"/>
              <w:jc w:val="center"/>
              <w:rPr>
                <w:rFonts w:ascii="Century Gothic" w:hAnsi="Century Gothic"/>
                <w:sz w:val="20"/>
                <w:szCs w:val="20"/>
                <w:highlight w:val="yellow"/>
              </w:rPr>
            </w:pPr>
            <w:r w:rsidRPr="00DB46DA">
              <w:rPr>
                <w:rFonts w:ascii="Century Gothic" w:hAnsi="Century Gothic"/>
                <w:sz w:val="20"/>
                <w:szCs w:val="20"/>
                <w:highlight w:val="yellow"/>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Przyczyna alarmu ze wskazaniem pompy w której został wywołany (rodzaj pompy, łóżko pacjenta, sala chorych)</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Informacje o alarmach przerywających infuzję (np. alarm okluzji)</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Informacje o lekach podawanych w pompach</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Moduł bibliotek leków</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Oprogramowanie do projektowania bibliotek leków, z możliwością zapisania 1200 leków oraz przypisania do 10 stężeń dla każdego leku, podziału na 30 kategorii lekowych, 16 profili pa</w:t>
            </w:r>
            <w:r w:rsidR="00BF3A91">
              <w:rPr>
                <w:rFonts w:ascii="Century Gothic" w:hAnsi="Century Gothic"/>
                <w:sz w:val="20"/>
                <w:szCs w:val="20"/>
              </w:rPr>
              <w:t xml:space="preserve">cjentów, 50 obszarów leczenia </w:t>
            </w:r>
            <w:r w:rsidR="00BF3A91" w:rsidRPr="00BF3A91">
              <w:rPr>
                <w:rFonts w:ascii="Century Gothic" w:hAnsi="Century Gothic"/>
                <w:color w:val="FF0000"/>
                <w:sz w:val="20"/>
                <w:szCs w:val="20"/>
              </w:rPr>
              <w:t xml:space="preserve">lub </w:t>
            </w:r>
            <w:r w:rsidR="00BF3A91" w:rsidRPr="00BF3A91">
              <w:rPr>
                <w:rFonts w:ascii="Century Gothic" w:hAnsi="Century Gothic"/>
                <w:color w:val="FF0000"/>
                <w:sz w:val="20"/>
                <w:szCs w:val="20"/>
                <w:lang w:eastAsia="pl-PL"/>
              </w:rPr>
              <w:t>oprogramowanie do projektowania bibliotek leków, z możliwością zapisania 3800 leków oraz przypisania do 5 stężeń dla każdego leku, podziału na 30 kategorii lekowych, 19 profili pacjentów, 150  obszarów leczenia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701F71">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DC738F" w:rsidRDefault="00A41482" w:rsidP="002454E8">
            <w:pPr>
              <w:snapToGrid w:val="0"/>
              <w:jc w:val="both"/>
              <w:rPr>
                <w:rFonts w:ascii="Century Gothic" w:hAnsi="Century Gothic"/>
                <w:sz w:val="20"/>
                <w:szCs w:val="20"/>
                <w:highlight w:val="yellow"/>
              </w:rPr>
            </w:pPr>
            <w:r w:rsidRPr="00DC738F">
              <w:rPr>
                <w:rFonts w:ascii="Century Gothic" w:hAnsi="Century Gothic"/>
                <w:sz w:val="20"/>
                <w:szCs w:val="20"/>
                <w:highlight w:val="yellow"/>
              </w:rPr>
              <w:t>Możliwość przypisania dla każdego leku limitów miękkich i twardych</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DC738F" w:rsidRDefault="00A41482" w:rsidP="002454E8">
            <w:pPr>
              <w:snapToGrid w:val="0"/>
              <w:jc w:val="center"/>
              <w:rPr>
                <w:rFonts w:ascii="Century Gothic" w:hAnsi="Century Gothic"/>
                <w:sz w:val="20"/>
                <w:szCs w:val="20"/>
                <w:highlight w:val="yellow"/>
              </w:rPr>
            </w:pPr>
            <w:r w:rsidRPr="00DC738F">
              <w:rPr>
                <w:rFonts w:ascii="Century Gothic" w:hAnsi="Century Gothic"/>
                <w:sz w:val="20"/>
                <w:szCs w:val="20"/>
                <w:highlight w:val="yellow"/>
              </w:rPr>
              <w:t>Tak</w:t>
            </w:r>
          </w:p>
        </w:tc>
        <w:tc>
          <w:tcPr>
            <w:tcW w:w="4534" w:type="dxa"/>
            <w:tcBorders>
              <w:top w:val="single" w:sz="4" w:space="0" w:color="auto"/>
              <w:left w:val="single" w:sz="4" w:space="0" w:color="auto"/>
              <w:bottom w:val="single" w:sz="4" w:space="0" w:color="auto"/>
              <w:right w:val="single" w:sz="4" w:space="0" w:color="auto"/>
            </w:tcBorders>
          </w:tcPr>
          <w:p w:rsidR="00A41482" w:rsidRPr="00DC738F" w:rsidRDefault="00A41482" w:rsidP="002454E8">
            <w:pPr>
              <w:pStyle w:val="Standard"/>
              <w:snapToGrid w:val="0"/>
              <w:jc w:val="both"/>
              <w:rPr>
                <w:rFonts w:ascii="Century Gothic" w:hAnsi="Century Gothic"/>
                <w:color w:val="FF0000"/>
                <w:sz w:val="20"/>
                <w:szCs w:val="20"/>
                <w:highlight w:val="yellow"/>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DC738F" w:rsidRDefault="00A41482" w:rsidP="00DC738F">
            <w:pPr>
              <w:snapToGrid w:val="0"/>
              <w:jc w:val="center"/>
              <w:rPr>
                <w:rFonts w:ascii="Century Gothic" w:hAnsi="Century Gothic"/>
                <w:sz w:val="20"/>
                <w:szCs w:val="20"/>
                <w:highlight w:val="yellow"/>
              </w:rPr>
            </w:pPr>
            <w:r w:rsidRPr="00DC738F">
              <w:rPr>
                <w:rFonts w:ascii="Century Gothic" w:hAnsi="Century Gothic"/>
                <w:sz w:val="20"/>
                <w:szCs w:val="20"/>
                <w:highlight w:val="yellow"/>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DC738F" w:rsidRDefault="00A41482" w:rsidP="002454E8">
            <w:pPr>
              <w:snapToGrid w:val="0"/>
              <w:jc w:val="both"/>
              <w:rPr>
                <w:rFonts w:ascii="Century Gothic" w:hAnsi="Century Gothic"/>
                <w:sz w:val="20"/>
                <w:szCs w:val="20"/>
                <w:highlight w:val="yellow"/>
              </w:rPr>
            </w:pPr>
            <w:r w:rsidRPr="00DC738F">
              <w:rPr>
                <w:rFonts w:ascii="Century Gothic" w:hAnsi="Century Gothic"/>
                <w:sz w:val="20"/>
                <w:szCs w:val="20"/>
                <w:highlight w:val="yellow"/>
              </w:rPr>
              <w:t>Możliwość konfiguracji parametrów wstępnych terapii dla każdego leku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DC738F" w:rsidRDefault="00A41482" w:rsidP="002454E8">
            <w:pPr>
              <w:snapToGrid w:val="0"/>
              <w:jc w:val="center"/>
              <w:rPr>
                <w:rFonts w:ascii="Century Gothic" w:hAnsi="Century Gothic"/>
                <w:sz w:val="20"/>
                <w:szCs w:val="20"/>
                <w:highlight w:val="yellow"/>
              </w:rPr>
            </w:pPr>
            <w:r w:rsidRPr="00DC738F">
              <w:rPr>
                <w:rFonts w:ascii="Century Gothic" w:hAnsi="Century Gothic"/>
                <w:sz w:val="20"/>
                <w:szCs w:val="20"/>
                <w:highlight w:val="yellow"/>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DC738F" w:rsidRDefault="00A41482" w:rsidP="002454E8">
            <w:pPr>
              <w:pStyle w:val="Standard"/>
              <w:snapToGrid w:val="0"/>
              <w:jc w:val="both"/>
              <w:rPr>
                <w:rFonts w:ascii="Century Gothic" w:hAnsi="Century Gothic"/>
                <w:color w:val="FF0000"/>
                <w:sz w:val="20"/>
                <w:szCs w:val="20"/>
                <w:highlight w:val="yellow"/>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DC738F" w:rsidRDefault="00A41482" w:rsidP="002454E8">
            <w:pPr>
              <w:snapToGrid w:val="0"/>
              <w:jc w:val="both"/>
              <w:rPr>
                <w:rFonts w:ascii="Century Gothic" w:hAnsi="Century Gothic"/>
                <w:sz w:val="20"/>
                <w:szCs w:val="20"/>
                <w:highlight w:val="yellow"/>
              </w:rPr>
            </w:pPr>
            <w:r w:rsidRPr="00DC738F">
              <w:rPr>
                <w:rFonts w:ascii="Century Gothic" w:hAnsi="Century Gothic"/>
                <w:sz w:val="20"/>
                <w:szCs w:val="20"/>
                <w:highlight w:val="yellow"/>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Zdalne przesyłanie bibliotek do pomp włączonych do systemu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701F71">
            <w:pPr>
              <w:snapToGrid w:val="0"/>
              <w:jc w:val="both"/>
              <w:rPr>
                <w:rFonts w:ascii="Century Gothic" w:hAnsi="Century Gothic"/>
                <w:sz w:val="20"/>
                <w:szCs w:val="20"/>
              </w:rPr>
            </w:pPr>
            <w:r w:rsidRPr="00915CAA">
              <w:rPr>
                <w:rFonts w:ascii="Century Gothic" w:hAnsi="Century Gothic"/>
                <w:sz w:val="20"/>
                <w:szCs w:val="20"/>
              </w:rPr>
              <w:t>Tak – 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Moduł statystyk i analiz</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Oprogramowanie do prowadzenia statystyk i analiz na różnych poziomach kompetencji personelu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701F71">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Możliwość wygenerowania raportu o dawkowaniu leków</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Możliwość wygenerowania raportu o ilości zużytych leków (na stanowisko)</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Możliwość wygenerowania dodatkowych raportów: Łączne godziny pracy urządzenia, Alarmy limitów twardych, Alarmy Dose Guard (lub odpowiednie wg nomenklatury producenta), Rozpoczęte infuzje</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Możliwość zapisania raportu jako plik pdf lub excel</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Moduł nadzoru urządzeń (elektroniczny paszport techniczny)</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Oprogramowanie automatycznie gromadzące informacje o urządzeniach podłączonych do systemu, umożliwiające nadzór nad systemem infuzyjnym</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Prezentacja w formie tabeli podłączonych urządzeń, oraz możliwość filtrowania sposobu wyświetlania (np. lokalizacja, typ urządzenia)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W przypadku utraty łączności z urządzeniem system wyświetla informację o lokalizacji: ostatnio widzianej</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Możliwość przypisania dla każdego urządzenia numeru inwentarzowego nadanego w jednostce</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Możliwość przypisania dla każdego urządzenia daty przeglądu technicznego, oraz późniejszego wygenerowania raportu pdf lub excel</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707DB0">
            <w:pPr>
              <w:snapToGrid w:val="0"/>
              <w:jc w:val="both"/>
              <w:rPr>
                <w:rFonts w:ascii="Century Gothic" w:hAnsi="Century Gothic"/>
                <w:sz w:val="20"/>
                <w:szCs w:val="20"/>
              </w:rPr>
            </w:pPr>
            <w:r w:rsidRPr="00915CAA">
              <w:rPr>
                <w:rFonts w:ascii="Century Gothic" w:hAnsi="Century Gothic"/>
                <w:sz w:val="20"/>
                <w:szCs w:val="20"/>
              </w:rPr>
              <w:t>Moduł pozwalający na analizę infuzji w różnych wymiarach (m.in. na lek, na pacjenta) z możliwością generowania raportów kosztowych</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701F71">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707DB0">
            <w:pPr>
              <w:snapToGrid w:val="0"/>
              <w:jc w:val="both"/>
              <w:rPr>
                <w:rFonts w:ascii="Century Gothic" w:hAnsi="Century Gothic"/>
                <w:sz w:val="20"/>
                <w:szCs w:val="20"/>
              </w:rPr>
            </w:pPr>
            <w:r w:rsidRPr="00915CAA">
              <w:rPr>
                <w:rFonts w:ascii="Century Gothic" w:hAnsi="Century Gothic"/>
                <w:sz w:val="20"/>
                <w:szCs w:val="20"/>
              </w:rPr>
              <w:t>Moduł pozwalający na analizę danych w różnych wymiarach z możliwością generowania raportów zmian w magazynie leków na podstawie przyjętych wprowadzonych na magazyn ilości</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027AE6">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701F71">
            <w:pPr>
              <w:snapToGrid w:val="0"/>
              <w:jc w:val="both"/>
              <w:rPr>
                <w:rFonts w:ascii="Century Gothic" w:hAnsi="Century Gothic"/>
                <w:sz w:val="20"/>
                <w:szCs w:val="20"/>
              </w:rPr>
            </w:pPr>
            <w:r w:rsidRPr="00915CAA">
              <w:rPr>
                <w:rFonts w:ascii="Century Gothic" w:hAnsi="Century Gothic"/>
                <w:sz w:val="20"/>
                <w:szCs w:val="20"/>
              </w:rPr>
              <w:t>Raporty zdarzeń związanych z prędkością dozowania każde zdarzenie, które skutkowało anulowaniem, pominięciem lub przeprogramowaniem wlewu. Szczegółowe informacje na temat każdego zarejestrowanego zdarzenia obejmujące godzinę, lokalizację, numer identyfikacyjny pompy, użyty lek, stężenie, pierwotnie zaprogramowaną prędkość dozowania, napotkany limit, pominięcie, ilość o jaką przekroczono limit, i dawkę końcową.</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027AE6">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09159C">
            <w:pPr>
              <w:snapToGrid w:val="0"/>
              <w:jc w:val="both"/>
              <w:rPr>
                <w:rFonts w:ascii="Century Gothic" w:hAnsi="Century Gothic"/>
                <w:sz w:val="20"/>
                <w:szCs w:val="20"/>
              </w:rPr>
            </w:pPr>
            <w:r w:rsidRPr="00915CAA">
              <w:rPr>
                <w:rFonts w:ascii="Century Gothic" w:hAnsi="Century Gothic"/>
                <w:sz w:val="20"/>
                <w:szCs w:val="20"/>
              </w:rPr>
              <w:t>System powiązania pacjenta z podawanym lekiem, partią działający w oparciu o indywidualne opaski oraz barcode (podając lek korelujemy go z kodem pacjenta)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96CA6">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A41482" w:rsidRPr="00915CAA" w:rsidTr="00844787">
        <w:tc>
          <w:tcPr>
            <w:tcW w:w="14567" w:type="dxa"/>
            <w:gridSpan w:val="5"/>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color w:val="000000"/>
                <w:sz w:val="20"/>
                <w:szCs w:val="20"/>
              </w:rPr>
              <w:t>tester do pomp  – 1 szt.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D74B9E" w:rsidRDefault="00A41482" w:rsidP="00D74B9E">
            <w:pPr>
              <w:snapToGrid w:val="0"/>
              <w:rPr>
                <w:rFonts w:ascii="Century Gothic" w:hAnsi="Century Gothic"/>
                <w:color w:val="000000"/>
                <w:sz w:val="20"/>
                <w:szCs w:val="20"/>
              </w:rPr>
            </w:pPr>
            <w:r w:rsidRPr="00D74B9E">
              <w:rPr>
                <w:rFonts w:ascii="Century Gothic" w:hAnsi="Century Gothic"/>
                <w:sz w:val="20"/>
                <w:szCs w:val="20"/>
              </w:rPr>
              <w:t>Pomiary co najmniej:</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color w:val="000000"/>
                <w:sz w:val="20"/>
                <w:szCs w:val="20"/>
              </w:rPr>
            </w:pPr>
            <w:r w:rsidRPr="00915CAA">
              <w:rPr>
                <w:rFonts w:ascii="Century Gothic" w:hAnsi="Century Gothic"/>
                <w:sz w:val="20"/>
                <w:szCs w:val="20"/>
              </w:rPr>
              <w:t>pomiar przepływu i ciśnienia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color w:val="000000"/>
                <w:sz w:val="20"/>
                <w:szCs w:val="20"/>
              </w:rPr>
            </w:pPr>
            <w:r w:rsidRPr="00915CAA">
              <w:rPr>
                <w:rFonts w:ascii="Century Gothic" w:hAnsi="Century Gothic"/>
                <w:sz w:val="20"/>
                <w:szCs w:val="20"/>
              </w:rPr>
              <w:t>okluzja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color w:val="000000"/>
                <w:sz w:val="20"/>
                <w:szCs w:val="20"/>
              </w:rPr>
            </w:pPr>
            <w:r w:rsidRPr="00915CAA">
              <w:rPr>
                <w:rFonts w:ascii="Century Gothic" w:hAnsi="Century Gothic"/>
                <w:sz w:val="20"/>
                <w:szCs w:val="20"/>
              </w:rPr>
              <w:t>bolus</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color w:val="000000"/>
                <w:sz w:val="20"/>
                <w:szCs w:val="20"/>
              </w:rPr>
            </w:pPr>
            <w:r w:rsidRPr="00915CAA">
              <w:rPr>
                <w:rFonts w:ascii="Century Gothic" w:hAnsi="Century Gothic"/>
                <w:sz w:val="20"/>
                <w:szCs w:val="20"/>
              </w:rPr>
              <w:t>wykresy w czasie rzeczywistym</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color w:val="000000"/>
                <w:sz w:val="20"/>
                <w:szCs w:val="20"/>
              </w:rPr>
            </w:pPr>
            <w:r w:rsidRPr="00915CAA">
              <w:rPr>
                <w:rFonts w:ascii="Century Gothic" w:hAnsi="Century Gothic"/>
                <w:sz w:val="20"/>
                <w:szCs w:val="20"/>
              </w:rPr>
              <w:t>kompatybilny ze wszystkimi rodzajami pomp infuzyjnych</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color w:val="000000"/>
                <w:sz w:val="20"/>
                <w:szCs w:val="20"/>
              </w:rPr>
            </w:pPr>
            <w:r w:rsidRPr="00915CAA">
              <w:rPr>
                <w:rFonts w:ascii="Century Gothic" w:hAnsi="Century Gothic"/>
                <w:sz w:val="20"/>
                <w:szCs w:val="20"/>
              </w:rPr>
              <w:t>niezależna praca wszystkich kanałów</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color w:val="000000"/>
                <w:sz w:val="20"/>
                <w:szCs w:val="20"/>
              </w:rPr>
            </w:pPr>
            <w:r w:rsidRPr="00915CAA">
              <w:rPr>
                <w:rFonts w:ascii="Century Gothic" w:hAnsi="Century Gothic"/>
                <w:sz w:val="20"/>
                <w:szCs w:val="20"/>
              </w:rPr>
              <w:t xml:space="preserve">zdalna kontrola z poziomu oprogramowania </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Generowanie raportów do wydruku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color w:val="000000"/>
                <w:sz w:val="20"/>
                <w:szCs w:val="20"/>
              </w:rPr>
            </w:pPr>
            <w:r w:rsidRPr="00915CAA">
              <w:rPr>
                <w:rFonts w:ascii="Century Gothic" w:hAnsi="Century Gothic"/>
                <w:sz w:val="20"/>
                <w:szCs w:val="20"/>
              </w:rPr>
              <w:t>Oferowany tester posiada świadectwo wzorcowania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color w:val="000000"/>
                <w:sz w:val="20"/>
                <w:szCs w:val="20"/>
              </w:rPr>
            </w:pPr>
            <w:r w:rsidRPr="00915CAA">
              <w:rPr>
                <w:rFonts w:ascii="Century Gothic" w:hAnsi="Century Gothic"/>
                <w:sz w:val="20"/>
                <w:szCs w:val="20"/>
              </w:rPr>
              <w:t>Urządzenie przystosowane do wykonywania kompletu testów wymaganych do pełnego przeglądu pompy infuzyjnej</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color w:val="000000"/>
                <w:sz w:val="20"/>
                <w:szCs w:val="20"/>
              </w:rPr>
            </w:pPr>
            <w:r w:rsidRPr="00915CAA">
              <w:rPr>
                <w:rFonts w:ascii="Century Gothic" w:hAnsi="Century Gothic"/>
                <w:sz w:val="20"/>
                <w:szCs w:val="20"/>
              </w:rPr>
              <w:t>Uniwersalny tester do pomp wszystkich typów i producentów</w:t>
            </w:r>
          </w:p>
        </w:tc>
        <w:tc>
          <w:tcPr>
            <w:tcW w:w="1559"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Tester 4 kanałowy</w:t>
            </w:r>
          </w:p>
        </w:tc>
        <w:tc>
          <w:tcPr>
            <w:tcW w:w="1559"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Złącze USB i</w:t>
            </w:r>
            <w:r>
              <w:rPr>
                <w:rFonts w:ascii="Century Gothic" w:hAnsi="Century Gothic"/>
                <w:color w:val="FF0000"/>
                <w:sz w:val="20"/>
                <w:szCs w:val="20"/>
              </w:rPr>
              <w:t>/lub</w:t>
            </w:r>
            <w:r w:rsidRPr="00915CAA">
              <w:rPr>
                <w:rFonts w:ascii="Century Gothic" w:hAnsi="Century Gothic"/>
                <w:sz w:val="20"/>
                <w:szCs w:val="20"/>
              </w:rPr>
              <w:t xml:space="preserve"> Bluetooth do komunikacji</w:t>
            </w:r>
          </w:p>
        </w:tc>
        <w:tc>
          <w:tcPr>
            <w:tcW w:w="1559"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Default="00A41482" w:rsidP="00D74B9E">
            <w:pPr>
              <w:snapToGrid w:val="0"/>
              <w:rPr>
                <w:rFonts w:ascii="Century Gothic" w:hAnsi="Century Gothic"/>
                <w:sz w:val="20"/>
                <w:szCs w:val="20"/>
              </w:rPr>
            </w:pPr>
            <w:r w:rsidRPr="00915CAA">
              <w:rPr>
                <w:rFonts w:ascii="Century Gothic" w:hAnsi="Century Gothic"/>
                <w:sz w:val="20"/>
                <w:szCs w:val="20"/>
              </w:rPr>
              <w:t>Oryginalna torba do przechowywani</w:t>
            </w:r>
          </w:p>
          <w:p w:rsidR="000B1DFC" w:rsidRPr="00915CAA" w:rsidRDefault="000B1DFC" w:rsidP="00D74B9E">
            <w:pPr>
              <w:snapToGrid w:val="0"/>
              <w:rPr>
                <w:rFonts w:ascii="Century Gothic" w:hAnsi="Century Gothic"/>
                <w:sz w:val="20"/>
                <w:szCs w:val="20"/>
              </w:rPr>
            </w:pPr>
            <w:r w:rsidRPr="000B1DFC">
              <w:rPr>
                <w:rFonts w:ascii="Century Gothic" w:hAnsi="Century Gothic"/>
                <w:color w:val="FF0000"/>
                <w:sz w:val="20"/>
                <w:szCs w:val="20"/>
              </w:rPr>
              <w:t>Uwaga – Zamawiający dopuszcza opakowanie zastępcze (walizka), jeśli nie występuje opakowanie oryginalne</w:t>
            </w:r>
          </w:p>
        </w:tc>
        <w:tc>
          <w:tcPr>
            <w:tcW w:w="1559"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0B1DFC" w:rsidRDefault="00A41482" w:rsidP="000B1DFC">
            <w:pPr>
              <w:snapToGrid w:val="0"/>
              <w:rPr>
                <w:rFonts w:ascii="Century Gothic" w:hAnsi="Century Gothic"/>
                <w:sz w:val="20"/>
                <w:szCs w:val="20"/>
              </w:rPr>
            </w:pPr>
            <w:r w:rsidRPr="00915CAA">
              <w:rPr>
                <w:rFonts w:ascii="Century Gothic" w:hAnsi="Century Gothic"/>
                <w:sz w:val="20"/>
                <w:szCs w:val="20"/>
              </w:rPr>
              <w:t>Dodatkowy tester do pomp, stacji dedykowany do zaoferowanych POMP (1 szt) pozwalający na wykonywanie pełnych przeglądów producenckich pomp wraz z możliwością odnotowywania przeglądu autoryzowanego (kasowanie alarmu przeglądu po jego wykonaniu) w sprzęcie oraz drukowanie raportów pełnego przeglądu zgodnie z wymogami producenta.</w:t>
            </w:r>
          </w:p>
        </w:tc>
        <w:tc>
          <w:tcPr>
            <w:tcW w:w="1559"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13892" w:type="dxa"/>
            <w:gridSpan w:val="4"/>
            <w:tcBorders>
              <w:top w:val="single" w:sz="4" w:space="0" w:color="auto"/>
              <w:left w:val="single" w:sz="4" w:space="0" w:color="auto"/>
              <w:bottom w:val="single" w:sz="4" w:space="0" w:color="auto"/>
              <w:right w:val="single" w:sz="4" w:space="0" w:color="auto"/>
            </w:tcBorders>
            <w:vAlign w:val="center"/>
          </w:tcPr>
          <w:p w:rsidR="00A41482" w:rsidRPr="00D74B9E" w:rsidRDefault="00A41482" w:rsidP="00D74B9E">
            <w:pPr>
              <w:snapToGrid w:val="0"/>
              <w:jc w:val="center"/>
              <w:rPr>
                <w:rFonts w:ascii="Century Gothic" w:hAnsi="Century Gothic"/>
                <w:sz w:val="20"/>
                <w:szCs w:val="20"/>
              </w:rPr>
            </w:pPr>
            <w:r w:rsidRPr="00D74B9E">
              <w:rPr>
                <w:rFonts w:ascii="Century Gothic" w:hAnsi="Century Gothic"/>
                <w:color w:val="000000"/>
                <w:sz w:val="20"/>
                <w:szCs w:val="20"/>
              </w:rPr>
              <w:t>Zasilacz UPS  – 10 szt.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color w:val="000000"/>
                <w:sz w:val="20"/>
                <w:szCs w:val="20"/>
              </w:rPr>
            </w:pPr>
            <w:r w:rsidRPr="00915CAA">
              <w:rPr>
                <w:rFonts w:ascii="Century Gothic" w:hAnsi="Century Gothic"/>
                <w:sz w:val="20"/>
                <w:szCs w:val="20"/>
              </w:rPr>
              <w:t>Zewnętrzny zasilacz UPS podtrzymujący prace pompy przez min. 8 godzin</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Rozmiary (szer/wys/długość)</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96CA6">
            <w:pPr>
              <w:snapToGrid w:val="0"/>
              <w:jc w:val="center"/>
              <w:rPr>
                <w:rFonts w:ascii="Century Gothic" w:hAnsi="Century Gothic"/>
                <w:sz w:val="20"/>
                <w:szCs w:val="20"/>
              </w:rPr>
            </w:pPr>
            <w:r w:rsidRPr="00915CAA">
              <w:rPr>
                <w:rFonts w:ascii="Century Gothic" w:hAnsi="Century Gothic"/>
                <w:sz w:val="20"/>
                <w:szCs w:val="20"/>
              </w:rPr>
              <w:t>Najmniejsze – 0,5 pkt. Pozostałe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13892" w:type="dxa"/>
            <w:gridSpan w:val="4"/>
            <w:tcBorders>
              <w:top w:val="single" w:sz="4" w:space="0" w:color="auto"/>
              <w:left w:val="single" w:sz="4" w:space="0" w:color="auto"/>
              <w:bottom w:val="single" w:sz="4" w:space="0" w:color="auto"/>
              <w:right w:val="single" w:sz="4" w:space="0" w:color="auto"/>
            </w:tcBorders>
            <w:vAlign w:val="center"/>
          </w:tcPr>
          <w:p w:rsidR="00A41482" w:rsidRPr="00D74B9E" w:rsidRDefault="00A41482" w:rsidP="00D74B9E">
            <w:pPr>
              <w:jc w:val="center"/>
              <w:rPr>
                <w:rFonts w:ascii="Century Gothic" w:hAnsi="Century Gothic"/>
                <w:sz w:val="20"/>
                <w:szCs w:val="20"/>
              </w:rPr>
            </w:pPr>
            <w:r w:rsidRPr="00D74B9E">
              <w:rPr>
                <w:rFonts w:ascii="Century Gothic" w:hAnsi="Century Gothic"/>
                <w:color w:val="000000"/>
                <w:sz w:val="20"/>
                <w:szCs w:val="20"/>
              </w:rPr>
              <w:t>Tester bezpieczeństwa elektrycznego – 1 szt.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Wykonywane testy:</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Ciągłość uziemienia DC</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E22588" w:rsidRDefault="00A41482" w:rsidP="00D74B9E">
            <w:pPr>
              <w:snapToGrid w:val="0"/>
              <w:rPr>
                <w:rFonts w:ascii="Century Gothic" w:hAnsi="Century Gothic"/>
                <w:color w:val="FF0000"/>
                <w:sz w:val="20"/>
                <w:szCs w:val="20"/>
              </w:rPr>
            </w:pPr>
            <w:r w:rsidRPr="00915CAA">
              <w:rPr>
                <w:rFonts w:ascii="Century Gothic" w:hAnsi="Century Gothic"/>
                <w:sz w:val="20"/>
                <w:szCs w:val="20"/>
              </w:rPr>
              <w:t>Rezystancja Izolacji 50V, 100V, 250V, 500V</w:t>
            </w:r>
            <w:r>
              <w:rPr>
                <w:rFonts w:ascii="Century Gothic" w:hAnsi="Century Gothic"/>
                <w:color w:val="FF0000"/>
                <w:sz w:val="20"/>
                <w:szCs w:val="20"/>
              </w:rPr>
              <w:t xml:space="preserve"> lub </w:t>
            </w:r>
            <w:r w:rsidRPr="00E22588">
              <w:rPr>
                <w:rFonts w:ascii="Century Gothic" w:hAnsi="Century Gothic"/>
                <w:color w:val="FF0000"/>
                <w:sz w:val="20"/>
                <w:szCs w:val="20"/>
                <w:lang w:eastAsia="pl-PL"/>
              </w:rPr>
              <w:t>napięcie testu rezystancji izolacji 250V i 500V, zgodnie z normą PN EN 62353</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Bezpośredni test upływu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Różnicowy test upływu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Alternatywny test upływu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Test obciążenia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Test napięcia zasilania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Test Przewodów IEC</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Cechy:</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Polskie menu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Pełna zgodność z normą PN EN 62353</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E22588" w:rsidRDefault="00A41482" w:rsidP="00D74B9E">
            <w:pPr>
              <w:snapToGrid w:val="0"/>
              <w:rPr>
                <w:rFonts w:ascii="Century Gothic" w:hAnsi="Century Gothic"/>
                <w:color w:val="FF0000"/>
                <w:sz w:val="20"/>
                <w:szCs w:val="20"/>
              </w:rPr>
            </w:pPr>
            <w:r w:rsidRPr="00915CAA">
              <w:rPr>
                <w:rFonts w:ascii="Century Gothic" w:hAnsi="Century Gothic"/>
                <w:sz w:val="20"/>
                <w:szCs w:val="20"/>
              </w:rPr>
              <w:t>Test do 2 odprowadzeń przyłączy pacjenta</w:t>
            </w:r>
            <w:r>
              <w:rPr>
                <w:rFonts w:ascii="Century Gothic" w:hAnsi="Century Gothic"/>
                <w:sz w:val="20"/>
                <w:szCs w:val="20"/>
              </w:rPr>
              <w:t xml:space="preserve"> </w:t>
            </w:r>
            <w:r w:rsidRPr="00E22588">
              <w:rPr>
                <w:rFonts w:ascii="Century Gothic" w:hAnsi="Century Gothic"/>
                <w:color w:val="FF0000"/>
                <w:sz w:val="20"/>
                <w:szCs w:val="20"/>
              </w:rPr>
              <w:t xml:space="preserve">lub </w:t>
            </w:r>
            <w:r w:rsidRPr="00E22588">
              <w:rPr>
                <w:rFonts w:ascii="Century Gothic" w:hAnsi="Century Gothic"/>
                <w:color w:val="FF0000"/>
                <w:sz w:val="20"/>
                <w:szCs w:val="20"/>
                <w:lang w:eastAsia="pl-PL"/>
              </w:rPr>
              <w:t>tester o 5 odprowadzeniach pacjenta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Konfigurowalne sekwencje testów</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Duży, czytelny wyświetlacz i wbudowana klawiatura</w:t>
            </w:r>
            <w:r>
              <w:rPr>
                <w:rFonts w:ascii="Century Gothic" w:hAnsi="Century Gothic"/>
                <w:sz w:val="20"/>
                <w:szCs w:val="20"/>
              </w:rPr>
              <w:t xml:space="preserve"> </w:t>
            </w:r>
            <w:r w:rsidRPr="001C2EBD">
              <w:rPr>
                <w:rFonts w:ascii="Century Gothic" w:hAnsi="Century Gothic"/>
                <w:color w:val="FF0000"/>
                <w:sz w:val="20"/>
                <w:szCs w:val="20"/>
              </w:rPr>
              <w:t xml:space="preserve">lub rozwiązanie polegające na </w:t>
            </w:r>
            <w:r w:rsidRPr="001C2EBD">
              <w:rPr>
                <w:rFonts w:ascii="Century Gothic" w:hAnsi="Century Gothic"/>
                <w:color w:val="FF0000"/>
                <w:sz w:val="20"/>
                <w:szCs w:val="20"/>
                <w:lang w:eastAsia="pl-PL"/>
              </w:rPr>
              <w:t>stosowaniu zewnętrznej klawiatury USB lub skanera kodów kreskowych</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1C2EBD">
            <w:pPr>
              <w:snapToGrid w:val="0"/>
              <w:rPr>
                <w:rFonts w:ascii="Century Gothic" w:hAnsi="Century Gothic"/>
                <w:sz w:val="20"/>
                <w:szCs w:val="20"/>
              </w:rPr>
            </w:pPr>
            <w:r w:rsidRPr="00915CAA">
              <w:rPr>
                <w:rFonts w:ascii="Century Gothic" w:hAnsi="Century Gothic"/>
                <w:sz w:val="20"/>
                <w:szCs w:val="20"/>
              </w:rPr>
              <w:t>Możliwość przesyłania wyników poprzez RS232 wraz z kablem</w:t>
            </w:r>
            <w:r>
              <w:rPr>
                <w:rFonts w:ascii="Century Gothic" w:hAnsi="Century Gothic"/>
                <w:sz w:val="20"/>
                <w:szCs w:val="20"/>
              </w:rPr>
              <w:t xml:space="preserve"> </w:t>
            </w:r>
            <w:r w:rsidRPr="001C2EBD">
              <w:rPr>
                <w:rFonts w:ascii="Century Gothic" w:hAnsi="Century Gothic"/>
                <w:color w:val="FF0000"/>
                <w:sz w:val="20"/>
                <w:szCs w:val="20"/>
              </w:rPr>
              <w:t xml:space="preserve">lub </w:t>
            </w:r>
            <w:r w:rsidRPr="001C2EBD">
              <w:rPr>
                <w:rFonts w:ascii="Century Gothic" w:hAnsi="Century Gothic"/>
                <w:color w:val="FF0000"/>
                <w:sz w:val="20"/>
                <w:szCs w:val="20"/>
                <w:lang w:eastAsia="pl-PL"/>
              </w:rPr>
              <w:t>zamiast RS232 korzystanie z komunikacji USB lub karty SD</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Pamięć wyników</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Przenośny, zasilany bateryjnie</w:t>
            </w:r>
            <w:r>
              <w:rPr>
                <w:rFonts w:ascii="Century Gothic" w:hAnsi="Century Gothic"/>
                <w:sz w:val="20"/>
                <w:szCs w:val="20"/>
              </w:rPr>
              <w:t xml:space="preserve"> </w:t>
            </w:r>
            <w:r w:rsidRPr="001C2EBD">
              <w:rPr>
                <w:rFonts w:ascii="Century Gothic" w:hAnsi="Century Gothic"/>
                <w:color w:val="FF0000"/>
                <w:sz w:val="20"/>
                <w:szCs w:val="20"/>
              </w:rPr>
              <w:t xml:space="preserve">lub </w:t>
            </w:r>
            <w:r w:rsidRPr="001C2EBD">
              <w:rPr>
                <w:rFonts w:ascii="Century Gothic" w:hAnsi="Century Gothic"/>
                <w:color w:val="FF0000"/>
                <w:sz w:val="20"/>
                <w:szCs w:val="20"/>
                <w:lang w:eastAsia="pl-PL"/>
              </w:rPr>
              <w:t>tester z zasilaniem tylko sieciowym</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Tryb manualny, automatyczny i półautomatyczny</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Skład kompletu: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 xml:space="preserve">Tester </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Proste oprogramowanie do przesyłania wyników</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Świadectwo wzorcowania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Sonda z klipsem</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Sonda ostrzowa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Torba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2 odprowadzeniowy kabel części aplikacyjnych</w:t>
            </w:r>
            <w:r>
              <w:rPr>
                <w:rFonts w:ascii="Century Gothic" w:hAnsi="Century Gothic"/>
                <w:sz w:val="20"/>
                <w:szCs w:val="20"/>
              </w:rPr>
              <w:t xml:space="preserve"> </w:t>
            </w:r>
            <w:r w:rsidRPr="001C2EBD">
              <w:rPr>
                <w:rFonts w:ascii="Century Gothic" w:hAnsi="Century Gothic"/>
                <w:color w:val="FF0000"/>
                <w:sz w:val="20"/>
                <w:szCs w:val="20"/>
              </w:rPr>
              <w:t xml:space="preserve">lub </w:t>
            </w:r>
            <w:r w:rsidRPr="001C2EBD">
              <w:rPr>
                <w:rFonts w:ascii="Century Gothic" w:hAnsi="Century Gothic"/>
                <w:color w:val="FF0000"/>
                <w:sz w:val="20"/>
                <w:szCs w:val="20"/>
                <w:lang w:eastAsia="pl-PL"/>
              </w:rPr>
              <w:t>adapter do 5 odprowadzeń pacjenta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Przewód zasilający</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13892" w:type="dxa"/>
            <w:gridSpan w:val="4"/>
            <w:tcBorders>
              <w:top w:val="single" w:sz="4" w:space="0" w:color="auto"/>
              <w:left w:val="single" w:sz="4" w:space="0" w:color="auto"/>
              <w:bottom w:val="single" w:sz="4" w:space="0" w:color="auto"/>
              <w:right w:val="single" w:sz="4" w:space="0" w:color="auto"/>
            </w:tcBorders>
            <w:vAlign w:val="center"/>
          </w:tcPr>
          <w:p w:rsidR="00A41482" w:rsidRPr="00D74B9E" w:rsidRDefault="00A41482" w:rsidP="00D74B9E">
            <w:pPr>
              <w:jc w:val="center"/>
              <w:rPr>
                <w:rFonts w:ascii="Century Gothic" w:hAnsi="Century Gothic"/>
                <w:sz w:val="20"/>
                <w:szCs w:val="20"/>
              </w:rPr>
            </w:pPr>
            <w:r w:rsidRPr="00D74B9E">
              <w:rPr>
                <w:rFonts w:ascii="Century Gothic" w:hAnsi="Century Gothic"/>
                <w:color w:val="000000"/>
                <w:sz w:val="20"/>
                <w:szCs w:val="20"/>
              </w:rPr>
              <w:t>Stacja do pracy pomp w środowisku MRI – 1 szt.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Default="00A41482" w:rsidP="002454E8">
            <w:pPr>
              <w:snapToGrid w:val="0"/>
              <w:jc w:val="both"/>
              <w:rPr>
                <w:rFonts w:ascii="Century Gothic" w:hAnsi="Century Gothic"/>
                <w:sz w:val="20"/>
                <w:szCs w:val="20"/>
              </w:rPr>
            </w:pPr>
            <w:r w:rsidRPr="00915CAA">
              <w:rPr>
                <w:rFonts w:ascii="Century Gothic" w:hAnsi="Century Gothic"/>
                <w:sz w:val="20"/>
                <w:szCs w:val="20"/>
              </w:rPr>
              <w:t>Urządzenie mobilne, do pracy w środowisku MRI, pozwalające na jednoczasowe dokowanie do min. 4 pomp infuzyjnych</w:t>
            </w:r>
          </w:p>
          <w:p w:rsidR="00A41482" w:rsidRPr="00915CAA" w:rsidRDefault="00A41482" w:rsidP="002454E8">
            <w:pPr>
              <w:snapToGrid w:val="0"/>
              <w:jc w:val="both"/>
              <w:rPr>
                <w:rFonts w:ascii="Century Gothic" w:hAnsi="Century Gothic"/>
                <w:sz w:val="20"/>
                <w:szCs w:val="20"/>
              </w:rPr>
            </w:pPr>
            <w:r w:rsidRPr="007B6850">
              <w:rPr>
                <w:rFonts w:ascii="Century Gothic" w:hAnsi="Century Gothic"/>
                <w:color w:val="FF0000"/>
                <w:sz w:val="16"/>
                <w:szCs w:val="16"/>
              </w:rPr>
              <w:t xml:space="preserve">Uwaga – Zamawiający dopuszcza </w:t>
            </w:r>
            <w:r w:rsidRPr="007B6850">
              <w:rPr>
                <w:rFonts w:ascii="Century Gothic" w:hAnsi="Century Gothic"/>
                <w:color w:val="FF0000"/>
                <w:sz w:val="16"/>
                <w:szCs w:val="16"/>
                <w:lang w:eastAsia="pl-PL"/>
              </w:rPr>
              <w:t>rozwiązanie polegające na możliwości użycia jednego portu komunikacyjnego (COM) na jedno stanowisko</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ED4C77">
            <w:pPr>
              <w:snapToGrid w:val="0"/>
              <w:jc w:val="both"/>
              <w:rPr>
                <w:rFonts w:ascii="Century Gothic" w:hAnsi="Century Gothic"/>
                <w:sz w:val="20"/>
                <w:szCs w:val="20"/>
              </w:rPr>
            </w:pPr>
            <w:r w:rsidRPr="00915CAA">
              <w:rPr>
                <w:rFonts w:ascii="Century Gothic" w:hAnsi="Century Gothic"/>
                <w:sz w:val="20"/>
                <w:szCs w:val="20"/>
              </w:rPr>
              <w:t>Urządzenie kompatybilne z pompami strzykawkowymi i objętościowymi</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Urządzenie powinno posiadać, zintegrowany system ciągłego pomiaru siły pola magnetycznego, pozwalający na bezpieczne umieszczenie go w stosunku do skanera MRI</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xml:space="preserve">System pomiaru siły pola magnetycznego powinien być wyposażony w wizualny i dźwiękowy alarm. Umieszczenie mobilnej obudowy pomp zbyt blisko rdzenia pola magnetycznego powinno wywoływać </w:t>
            </w:r>
            <w:r w:rsidRPr="00915CAA">
              <w:rPr>
                <w:rFonts w:ascii="Century Gothic" w:hAnsi="Century Gothic"/>
                <w:sz w:val="20"/>
                <w:szCs w:val="20"/>
              </w:rPr>
              <w:lastRenderedPageBreak/>
              <w:t>alarm wraz z automatycznym logowaniem zdarzenia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Urządzenie mobilne, do pracy w środowisku MRI powinno pozwalać na pracę w skanerze 1,5 T i 3,0 T</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ED4C77">
            <w:pPr>
              <w:snapToGrid w:val="0"/>
              <w:jc w:val="both"/>
              <w:rPr>
                <w:rFonts w:ascii="Century Gothic" w:hAnsi="Century Gothic"/>
                <w:sz w:val="20"/>
                <w:szCs w:val="20"/>
              </w:rPr>
            </w:pPr>
            <w:r w:rsidRPr="00915CAA">
              <w:rPr>
                <w:rFonts w:ascii="Century Gothic" w:hAnsi="Century Gothic"/>
                <w:sz w:val="20"/>
                <w:szCs w:val="20"/>
              </w:rPr>
              <w:t>Urządzenie mobilne o łatwym manewrowaniu, z możliwością włączania hamulców na min. 2 kołach</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1A0944">
            <w:pPr>
              <w:jc w:val="center"/>
              <w:rPr>
                <w:rFonts w:ascii="Century Gothic" w:hAnsi="Century Gothic"/>
                <w:sz w:val="20"/>
                <w:szCs w:val="20"/>
              </w:rPr>
            </w:pPr>
            <w:r w:rsidRPr="00915CAA">
              <w:rPr>
                <w:rFonts w:ascii="Century Gothic" w:hAnsi="Century Gothic"/>
                <w:sz w:val="20"/>
                <w:szCs w:val="20"/>
              </w:rPr>
              <w:t>Bezpieczny uchwyt do manewrowania 0,5 pkt, pozostałe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Zasilanie sieciowe 115-230 V, 50-60Hz oraz zasilanie bateryjne</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Gwarantowany czas pracy po pełnym naładowaniu baterii przy podłączeniu wszystkich pomp infuzyjnych powinien wynosić nie mniej niż 60 minut ciągłej pracy</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Stopień uszczelnienia obudowy min. IPX2</w:t>
            </w:r>
            <w:r w:rsidR="007C74C8">
              <w:rPr>
                <w:rFonts w:ascii="Century Gothic" w:hAnsi="Century Gothic"/>
                <w:sz w:val="20"/>
                <w:szCs w:val="20"/>
              </w:rPr>
              <w:t xml:space="preserve"> </w:t>
            </w:r>
            <w:r w:rsidR="007C74C8" w:rsidRPr="007C74C8">
              <w:rPr>
                <w:rFonts w:ascii="Century Gothic" w:hAnsi="Century Gothic"/>
                <w:color w:val="FF0000"/>
                <w:sz w:val="20"/>
                <w:szCs w:val="20"/>
              </w:rPr>
              <w:t xml:space="preserve">lub stopień  </w:t>
            </w:r>
            <w:r w:rsidR="007C74C8" w:rsidRPr="007C74C8">
              <w:rPr>
                <w:rFonts w:ascii="Century Gothic" w:hAnsi="Century Gothic"/>
                <w:color w:val="FF0000"/>
                <w:sz w:val="20"/>
                <w:szCs w:val="20"/>
                <w:lang w:eastAsia="pl-PL"/>
              </w:rPr>
              <w:t>uszczelnienia obudowy IP 21</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Wieszak na worki z płynami infuzyjnymi o regulowanej wysokości z możliwością jego demontażu, każdy pozwalający na umieszczenie ciężaru minimum 2 kg</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 – podać łączną wartość obciążenia wieszaków</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F83F28">
            <w:pPr>
              <w:snapToGrid w:val="0"/>
              <w:jc w:val="both"/>
              <w:rPr>
                <w:rFonts w:ascii="Century Gothic" w:hAnsi="Century Gothic"/>
                <w:sz w:val="20"/>
                <w:szCs w:val="20"/>
              </w:rPr>
            </w:pPr>
            <w:r w:rsidRPr="00915CAA">
              <w:rPr>
                <w:rFonts w:ascii="Century Gothic" w:hAnsi="Century Gothic"/>
                <w:sz w:val="20"/>
                <w:szCs w:val="20"/>
              </w:rPr>
              <w:t>Łatwo dostrzegalna panel sygnalizacyjny</w:t>
            </w:r>
            <w:r w:rsidRPr="00915CAA">
              <w:rPr>
                <w:rFonts w:ascii="Century Gothic" w:hAnsi="Century Gothic"/>
                <w:strike/>
                <w:sz w:val="20"/>
                <w:szCs w:val="20"/>
              </w:rPr>
              <w:t xml:space="preserve"> </w:t>
            </w:r>
            <w:r w:rsidRPr="00915CAA">
              <w:rPr>
                <w:rFonts w:ascii="Century Gothic" w:hAnsi="Century Gothic"/>
                <w:sz w:val="20"/>
                <w:szCs w:val="20"/>
              </w:rPr>
              <w:t xml:space="preserve">wskazujący stan pompy zamocowanej do stacji: </w:t>
            </w:r>
            <w:r w:rsidRPr="00AF5692">
              <w:rPr>
                <w:rFonts w:ascii="Century Gothic" w:hAnsi="Century Gothic"/>
                <w:strike/>
                <w:color w:val="FF0000"/>
                <w:sz w:val="20"/>
                <w:szCs w:val="20"/>
              </w:rPr>
              <w:t>praca, alarm wstępny, alarm końcowy</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Urządzenie powinno posiadać dwustopniowy dźwiękowy i wizualny system powiadamiania o sytuacjach alarmowych, zróżnicowany w zależności od statusu alarmu bądź informacji o pracy systemu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Urządzenie powinno wskazywać co najmniej :</w:t>
            </w:r>
          </w:p>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wyłączenie zasilania sieciowego</w:t>
            </w:r>
          </w:p>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alarm pompy</w:t>
            </w:r>
          </w:p>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praca na zasilaniu sieciowym</w:t>
            </w:r>
          </w:p>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praca na zasilaniu bateryjnym</w:t>
            </w:r>
          </w:p>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bliski status rozładowania baterii</w:t>
            </w:r>
          </w:p>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lastRenderedPageBreak/>
              <w:t>- alarm dla zakresu bezpiecznej pracy w środowisku MRI                ( odległość pracy od otworu tunelu magnesu )</w:t>
            </w:r>
          </w:p>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xml:space="preserve">- alarm uszkodzenia systemu </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Zatrzaskowy system montowania pomp w urządzeniu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Oferowane urządzenia muszą spełniać normę IEC/EN60601-1, IEC/EN60601-1-2; ETSI EN 301489-17 oraz Dyrektywe Emisji Radiowej 2014/53/EU</w:t>
            </w:r>
            <w:r w:rsidR="007C74C8">
              <w:rPr>
                <w:rFonts w:ascii="Century Gothic" w:hAnsi="Century Gothic"/>
                <w:sz w:val="20"/>
                <w:szCs w:val="20"/>
              </w:rPr>
              <w:t xml:space="preserve"> </w:t>
            </w:r>
            <w:r w:rsidR="007C74C8" w:rsidRPr="007C74C8">
              <w:rPr>
                <w:rFonts w:ascii="Century Gothic" w:hAnsi="Century Gothic"/>
                <w:color w:val="FF0000"/>
                <w:sz w:val="20"/>
                <w:szCs w:val="20"/>
              </w:rPr>
              <w:t xml:space="preserve">lub </w:t>
            </w:r>
            <w:r w:rsidR="007C74C8" w:rsidRPr="007C74C8">
              <w:rPr>
                <w:rFonts w:ascii="Century Gothic" w:hAnsi="Century Gothic"/>
                <w:color w:val="FF0000"/>
                <w:sz w:val="20"/>
                <w:szCs w:val="20"/>
                <w:lang w:eastAsia="pl-PL"/>
              </w:rPr>
              <w:t>urządzenie zarejestrowane jako wyrób medyczny, spełniające normy kompatybilności elektromagnetycznej w zakresie wymaganych zgodnie z ustawą dla wyrobów medycznych to jest norm IEC/EN60601-1, IEC/EN60601-1-2</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Pr>
                <w:rFonts w:ascii="Century Gothic" w:hAnsi="Century Gothic"/>
                <w:sz w:val="20"/>
                <w:szCs w:val="20"/>
              </w:rPr>
              <w:t xml:space="preserve">1. </w:t>
            </w:r>
            <w:r w:rsidRPr="00915CAA">
              <w:rPr>
                <w:rFonts w:ascii="Century Gothic" w:hAnsi="Century Gothic"/>
                <w:sz w:val="20"/>
                <w:szCs w:val="20"/>
              </w:rPr>
              <w:t>Stacja z możliwością instalacji 4 pomp strzykawkach lub objętościowych</w:t>
            </w:r>
          </w:p>
          <w:p w:rsidR="00A41482" w:rsidRPr="00915CAA" w:rsidRDefault="00A41482" w:rsidP="002454E8">
            <w:pPr>
              <w:snapToGrid w:val="0"/>
              <w:jc w:val="both"/>
              <w:rPr>
                <w:rFonts w:ascii="Century Gothic" w:hAnsi="Century Gothic"/>
                <w:sz w:val="20"/>
                <w:szCs w:val="20"/>
              </w:rPr>
            </w:pPr>
            <w:r>
              <w:rPr>
                <w:rFonts w:ascii="Century Gothic" w:hAnsi="Century Gothic"/>
                <w:sz w:val="20"/>
                <w:szCs w:val="20"/>
              </w:rPr>
              <w:t xml:space="preserve">2. </w:t>
            </w:r>
            <w:r w:rsidRPr="00915CAA">
              <w:rPr>
                <w:rFonts w:ascii="Century Gothic" w:hAnsi="Century Gothic"/>
                <w:sz w:val="20"/>
                <w:szCs w:val="20"/>
              </w:rPr>
              <w:t>Przewidywane umiejscowienie, to możliwie jak najbliżej pacjenta znajdującego się w aparacie MRI, z zastrzeżeniem jednak, że maksymalna gęstość pola ma</w:t>
            </w:r>
            <w:r>
              <w:rPr>
                <w:rFonts w:ascii="Century Gothic" w:hAnsi="Century Gothic"/>
                <w:sz w:val="20"/>
                <w:szCs w:val="20"/>
              </w:rPr>
              <w:t>gnetycznego może wynosić 20 mT/</w:t>
            </w:r>
            <w:r w:rsidRPr="00915CAA">
              <w:rPr>
                <w:rFonts w:ascii="Century Gothic" w:hAnsi="Century Gothic"/>
                <w:sz w:val="20"/>
                <w:szCs w:val="20"/>
              </w:rPr>
              <w:t>200 Gs, co odpowiada odległości ok. 1.5 m od aktywnego, ekranowanego skanera MRI 3 T</w:t>
            </w:r>
          </w:p>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3.Stacja wyposażona w podstawę jezdną</w:t>
            </w:r>
            <w:r w:rsidR="000B1DFC">
              <w:rPr>
                <w:rFonts w:ascii="Century Gothic" w:hAnsi="Century Gothic"/>
                <w:sz w:val="20"/>
                <w:szCs w:val="20"/>
              </w:rPr>
              <w:t xml:space="preserve"> </w:t>
            </w:r>
            <w:r w:rsidRPr="00915CAA">
              <w:rPr>
                <w:rFonts w:ascii="Century Gothic" w:hAnsi="Century Gothic"/>
                <w:sz w:val="20"/>
                <w:szCs w:val="20"/>
              </w:rPr>
              <w:t>4 kółka, minimum dwa k</w:t>
            </w:r>
            <w:r w:rsidR="000B1DFC">
              <w:rPr>
                <w:rFonts w:ascii="Century Gothic" w:hAnsi="Century Gothic"/>
                <w:sz w:val="20"/>
                <w:szCs w:val="20"/>
              </w:rPr>
              <w:t xml:space="preserve">ółka wyposażone w hamulec nożny </w:t>
            </w:r>
          </w:p>
          <w:p w:rsidR="00A41482" w:rsidRPr="00915CAA" w:rsidRDefault="00A41482" w:rsidP="002454E8">
            <w:pPr>
              <w:snapToGrid w:val="0"/>
              <w:jc w:val="both"/>
              <w:rPr>
                <w:rFonts w:ascii="Century Gothic" w:hAnsi="Century Gothic"/>
                <w:sz w:val="20"/>
                <w:szCs w:val="20"/>
              </w:rPr>
            </w:pPr>
            <w:r>
              <w:rPr>
                <w:rFonts w:ascii="Century Gothic" w:hAnsi="Century Gothic"/>
                <w:sz w:val="20"/>
                <w:szCs w:val="20"/>
              </w:rPr>
              <w:t xml:space="preserve">4. </w:t>
            </w:r>
            <w:r w:rsidRPr="00915CAA">
              <w:rPr>
                <w:rFonts w:ascii="Century Gothic" w:hAnsi="Century Gothic"/>
                <w:sz w:val="20"/>
                <w:szCs w:val="20"/>
              </w:rPr>
              <w:t>Stacja wyposażona w automatyczny hamulec</w:t>
            </w:r>
          </w:p>
          <w:p w:rsidR="00A41482" w:rsidRPr="00915CAA" w:rsidRDefault="00A41482" w:rsidP="002454E8">
            <w:pPr>
              <w:snapToGrid w:val="0"/>
              <w:jc w:val="both"/>
              <w:rPr>
                <w:rFonts w:ascii="Century Gothic" w:hAnsi="Century Gothic"/>
                <w:sz w:val="20"/>
                <w:szCs w:val="20"/>
              </w:rPr>
            </w:pPr>
            <w:r>
              <w:rPr>
                <w:rFonts w:ascii="Century Gothic" w:hAnsi="Century Gothic"/>
                <w:sz w:val="20"/>
                <w:szCs w:val="20"/>
              </w:rPr>
              <w:t xml:space="preserve">5. </w:t>
            </w:r>
            <w:r w:rsidRPr="00915CAA">
              <w:rPr>
                <w:rFonts w:ascii="Century Gothic" w:hAnsi="Century Gothic"/>
                <w:sz w:val="20"/>
                <w:szCs w:val="20"/>
              </w:rPr>
              <w:t>Stacja wyposażona w wieszak na kroplówki</w:t>
            </w:r>
          </w:p>
          <w:p w:rsidR="00A41482" w:rsidRPr="00915CAA" w:rsidRDefault="00A41482" w:rsidP="002454E8">
            <w:pPr>
              <w:snapToGrid w:val="0"/>
              <w:jc w:val="both"/>
              <w:rPr>
                <w:rFonts w:ascii="Century Gothic" w:hAnsi="Century Gothic"/>
                <w:sz w:val="20"/>
                <w:szCs w:val="20"/>
              </w:rPr>
            </w:pPr>
            <w:r>
              <w:rPr>
                <w:rFonts w:ascii="Century Gothic" w:hAnsi="Century Gothic"/>
                <w:sz w:val="20"/>
                <w:szCs w:val="20"/>
              </w:rPr>
              <w:t xml:space="preserve">6. </w:t>
            </w:r>
            <w:r w:rsidRPr="00915CAA">
              <w:rPr>
                <w:rFonts w:ascii="Century Gothic" w:hAnsi="Century Gothic"/>
                <w:sz w:val="20"/>
                <w:szCs w:val="20"/>
              </w:rPr>
              <w:t>Min. dwa bezpieczniki, 2 A o dużej zdolności wyłączania</w:t>
            </w:r>
          </w:p>
          <w:p w:rsidR="00A41482" w:rsidRPr="00915CAA" w:rsidRDefault="00A41482" w:rsidP="002454E8">
            <w:pPr>
              <w:snapToGrid w:val="0"/>
              <w:jc w:val="both"/>
              <w:rPr>
                <w:rFonts w:ascii="Century Gothic" w:hAnsi="Century Gothic"/>
                <w:sz w:val="20"/>
                <w:szCs w:val="20"/>
              </w:rPr>
            </w:pPr>
            <w:r>
              <w:rPr>
                <w:rFonts w:ascii="Century Gothic" w:hAnsi="Century Gothic"/>
                <w:sz w:val="20"/>
                <w:szCs w:val="20"/>
              </w:rPr>
              <w:t xml:space="preserve">7. </w:t>
            </w:r>
            <w:r w:rsidRPr="00915CAA">
              <w:rPr>
                <w:rFonts w:ascii="Century Gothic" w:hAnsi="Century Gothic"/>
                <w:sz w:val="20"/>
                <w:szCs w:val="20"/>
              </w:rPr>
              <w:t>Ochrona elektryczna Klasa I z uziemieniem ochronnych, trójżyłowy przewód zasilający</w:t>
            </w:r>
          </w:p>
          <w:p w:rsidR="00A41482" w:rsidRPr="00915CAA" w:rsidRDefault="00A41482" w:rsidP="002454E8">
            <w:pPr>
              <w:snapToGrid w:val="0"/>
              <w:jc w:val="both"/>
              <w:rPr>
                <w:rFonts w:ascii="Century Gothic" w:hAnsi="Century Gothic"/>
                <w:sz w:val="20"/>
                <w:szCs w:val="20"/>
              </w:rPr>
            </w:pPr>
            <w:r>
              <w:rPr>
                <w:rFonts w:ascii="Century Gothic" w:hAnsi="Century Gothic"/>
                <w:sz w:val="20"/>
                <w:szCs w:val="20"/>
              </w:rPr>
              <w:t xml:space="preserve">8. </w:t>
            </w:r>
            <w:r w:rsidRPr="00915CAA">
              <w:rPr>
                <w:rFonts w:ascii="Century Gothic" w:hAnsi="Century Gothic"/>
                <w:sz w:val="20"/>
                <w:szCs w:val="20"/>
              </w:rPr>
              <w:t xml:space="preserve">Wskaźnik obecności pola magnetycznego </w:t>
            </w:r>
          </w:p>
          <w:p w:rsidR="00A41482" w:rsidRPr="00915CAA" w:rsidRDefault="00A41482" w:rsidP="002454E8">
            <w:pPr>
              <w:snapToGrid w:val="0"/>
              <w:jc w:val="both"/>
              <w:rPr>
                <w:rFonts w:ascii="Century Gothic" w:hAnsi="Century Gothic"/>
                <w:sz w:val="20"/>
                <w:szCs w:val="20"/>
              </w:rPr>
            </w:pPr>
            <w:r>
              <w:rPr>
                <w:rFonts w:ascii="Century Gothic" w:hAnsi="Century Gothic"/>
                <w:sz w:val="20"/>
                <w:szCs w:val="20"/>
              </w:rPr>
              <w:t xml:space="preserve">9. </w:t>
            </w:r>
            <w:r w:rsidRPr="00915CAA">
              <w:rPr>
                <w:rFonts w:ascii="Century Gothic" w:hAnsi="Century Gothic"/>
                <w:sz w:val="20"/>
                <w:szCs w:val="20"/>
              </w:rPr>
              <w:t xml:space="preserve">Interfejs użytkownika w skład którego wchodzą </w:t>
            </w:r>
            <w:r w:rsidRPr="00915CAA">
              <w:rPr>
                <w:rFonts w:ascii="Century Gothic" w:hAnsi="Century Gothic"/>
                <w:sz w:val="20"/>
                <w:szCs w:val="20"/>
              </w:rPr>
              <w:lastRenderedPageBreak/>
              <w:t>wskaźniki świetlne: stanu systemu, stanu baterii interfejsu, stanu zasilania sieciowego, stanu alarmów pomp zainstalowanych w stacji.</w:t>
            </w:r>
          </w:p>
          <w:p w:rsidR="00A41482" w:rsidRPr="00915CAA" w:rsidRDefault="00A41482" w:rsidP="002454E8">
            <w:pPr>
              <w:snapToGrid w:val="0"/>
              <w:jc w:val="both"/>
              <w:rPr>
                <w:rFonts w:ascii="Century Gothic" w:hAnsi="Century Gothic"/>
                <w:sz w:val="20"/>
                <w:szCs w:val="20"/>
              </w:rPr>
            </w:pPr>
            <w:r>
              <w:rPr>
                <w:rFonts w:ascii="Century Gothic" w:hAnsi="Century Gothic"/>
                <w:sz w:val="20"/>
                <w:szCs w:val="20"/>
              </w:rPr>
              <w:t xml:space="preserve">10. </w:t>
            </w:r>
            <w:r w:rsidRPr="00915CAA">
              <w:rPr>
                <w:rFonts w:ascii="Century Gothic" w:hAnsi="Century Gothic"/>
                <w:sz w:val="20"/>
                <w:szCs w:val="20"/>
              </w:rPr>
              <w:t>Użytkowanie w środowisku rezonansu magnetycznego, pole magnetyczne maksimum      20 mT</w:t>
            </w:r>
          </w:p>
          <w:p w:rsidR="00A41482" w:rsidRPr="00915CAA" w:rsidRDefault="00A41482" w:rsidP="002454E8">
            <w:pPr>
              <w:snapToGrid w:val="0"/>
              <w:jc w:val="both"/>
              <w:rPr>
                <w:rFonts w:ascii="Century Gothic" w:hAnsi="Century Gothic"/>
                <w:sz w:val="20"/>
                <w:szCs w:val="20"/>
              </w:rPr>
            </w:pPr>
            <w:r>
              <w:rPr>
                <w:rFonts w:ascii="Century Gothic" w:hAnsi="Century Gothic"/>
                <w:sz w:val="20"/>
                <w:szCs w:val="20"/>
              </w:rPr>
              <w:t xml:space="preserve">11. </w:t>
            </w:r>
            <w:r w:rsidRPr="00915CAA">
              <w:rPr>
                <w:rFonts w:ascii="Century Gothic" w:hAnsi="Century Gothic"/>
                <w:sz w:val="20"/>
                <w:szCs w:val="20"/>
              </w:rPr>
              <w:t>Bezpieczeństwo sprzętu elektromedycznego Zgodność z normą EN/IEC 60601-1</w:t>
            </w:r>
          </w:p>
          <w:p w:rsidR="00A41482" w:rsidRDefault="00A41482" w:rsidP="00D84591">
            <w:pPr>
              <w:snapToGrid w:val="0"/>
              <w:jc w:val="both"/>
              <w:rPr>
                <w:rFonts w:ascii="Century Gothic" w:hAnsi="Century Gothic"/>
                <w:sz w:val="20"/>
                <w:szCs w:val="20"/>
              </w:rPr>
            </w:pPr>
            <w:r>
              <w:rPr>
                <w:rFonts w:ascii="Century Gothic" w:hAnsi="Century Gothic"/>
                <w:sz w:val="20"/>
                <w:szCs w:val="20"/>
              </w:rPr>
              <w:t xml:space="preserve">12. </w:t>
            </w:r>
            <w:r w:rsidRPr="00915CAA">
              <w:rPr>
                <w:rFonts w:ascii="Century Gothic" w:hAnsi="Century Gothic"/>
                <w:sz w:val="20"/>
                <w:szCs w:val="20"/>
              </w:rPr>
              <w:t>Kompatybilność elektromagnetyczna zgodność z normą EN/IEC 60601-1-2</w:t>
            </w:r>
          </w:p>
          <w:p w:rsidR="00A41482" w:rsidRPr="000B1DFC" w:rsidRDefault="00A41482" w:rsidP="000B1DFC">
            <w:pPr>
              <w:snapToGrid w:val="0"/>
              <w:jc w:val="both"/>
              <w:rPr>
                <w:rFonts w:ascii="Century Gothic" w:hAnsi="Century Gothic"/>
                <w:color w:val="FF0000"/>
                <w:sz w:val="20"/>
                <w:szCs w:val="20"/>
              </w:rPr>
            </w:pPr>
            <w:r w:rsidRPr="000B1DFC">
              <w:rPr>
                <w:rFonts w:ascii="Century Gothic" w:hAnsi="Century Gothic"/>
                <w:color w:val="FF0000"/>
                <w:sz w:val="20"/>
                <w:szCs w:val="20"/>
              </w:rPr>
              <w:t>Uwaga: Zamawiający dopuszcza rozwiązanie</w:t>
            </w:r>
            <w:r w:rsidR="000B1DFC">
              <w:rPr>
                <w:rFonts w:ascii="Century Gothic" w:hAnsi="Century Gothic"/>
                <w:color w:val="FF0000"/>
                <w:sz w:val="20"/>
                <w:szCs w:val="20"/>
              </w:rPr>
              <w:t xml:space="preserve"> dot. p. 3 i 4</w:t>
            </w:r>
            <w:r w:rsidRPr="000B1DFC">
              <w:rPr>
                <w:rFonts w:ascii="Century Gothic" w:hAnsi="Century Gothic"/>
                <w:color w:val="FF0000"/>
                <w:sz w:val="20"/>
                <w:szCs w:val="20"/>
              </w:rPr>
              <w:t>:</w:t>
            </w:r>
          </w:p>
          <w:p w:rsidR="00A41482" w:rsidRPr="000B1DFC" w:rsidRDefault="00A41482" w:rsidP="000B1DFC">
            <w:pPr>
              <w:jc w:val="both"/>
              <w:rPr>
                <w:rFonts w:ascii="Century Gothic" w:hAnsi="Century Gothic"/>
                <w:color w:val="FF0000"/>
                <w:sz w:val="20"/>
                <w:szCs w:val="20"/>
                <w:lang w:eastAsia="pl-PL"/>
              </w:rPr>
            </w:pPr>
            <w:r w:rsidRPr="000B1DFC">
              <w:rPr>
                <w:rFonts w:ascii="Century Gothic" w:hAnsi="Century Gothic"/>
                <w:color w:val="FF0000"/>
                <w:sz w:val="20"/>
                <w:szCs w:val="20"/>
                <w:lang w:eastAsia="pl-PL"/>
              </w:rPr>
              <w:t>3.</w:t>
            </w:r>
            <w:r w:rsidR="000B1DFC">
              <w:rPr>
                <w:rFonts w:ascii="Century Gothic" w:hAnsi="Century Gothic"/>
                <w:color w:val="FF0000"/>
                <w:sz w:val="20"/>
                <w:szCs w:val="20"/>
                <w:lang w:eastAsia="pl-PL"/>
              </w:rPr>
              <w:t xml:space="preserve"> </w:t>
            </w:r>
            <w:r w:rsidRPr="000B1DFC">
              <w:rPr>
                <w:rFonts w:ascii="Century Gothic" w:hAnsi="Century Gothic"/>
                <w:color w:val="FF0000"/>
                <w:sz w:val="20"/>
                <w:szCs w:val="20"/>
                <w:lang w:eastAsia="pl-PL"/>
              </w:rPr>
              <w:t xml:space="preserve">Stacja wyposażona w podstawę jezdną  4 kółka, minimum dwa kółka wyposażone w hamulec nożny </w:t>
            </w:r>
          </w:p>
          <w:p w:rsidR="00A41482" w:rsidRPr="000B1DFC" w:rsidRDefault="00A41482" w:rsidP="000B1DFC">
            <w:pPr>
              <w:jc w:val="both"/>
              <w:rPr>
                <w:rFonts w:ascii="Century Gothic" w:hAnsi="Century Gothic"/>
                <w:color w:val="FF0000"/>
                <w:sz w:val="20"/>
                <w:szCs w:val="20"/>
                <w:lang w:eastAsia="pl-PL"/>
              </w:rPr>
            </w:pPr>
            <w:r w:rsidRPr="000B1DFC">
              <w:rPr>
                <w:rFonts w:ascii="Century Gothic" w:hAnsi="Century Gothic"/>
                <w:color w:val="FF0000"/>
                <w:sz w:val="20"/>
                <w:szCs w:val="20"/>
                <w:lang w:eastAsia="pl-PL"/>
              </w:rPr>
              <w:t>lub</w:t>
            </w:r>
          </w:p>
          <w:p w:rsidR="00A41482" w:rsidRPr="00915CAA" w:rsidRDefault="00A41482" w:rsidP="000B1DFC">
            <w:pPr>
              <w:jc w:val="both"/>
              <w:rPr>
                <w:rFonts w:ascii="Century Gothic" w:hAnsi="Century Gothic"/>
                <w:sz w:val="20"/>
                <w:szCs w:val="20"/>
              </w:rPr>
            </w:pPr>
            <w:r w:rsidRPr="000B1DFC">
              <w:rPr>
                <w:rFonts w:ascii="Century Gothic" w:hAnsi="Century Gothic"/>
                <w:color w:val="FF0000"/>
                <w:sz w:val="20"/>
                <w:szCs w:val="20"/>
                <w:lang w:eastAsia="pl-PL"/>
              </w:rPr>
              <w:t>4. Stacja wyposażona w automatyczny hamulec.</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Stacja wyposażona w szufladę na podręczne akcesoria, instrukcję obsługi itp.</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Default="00A41482" w:rsidP="002454E8">
            <w:pPr>
              <w:snapToGrid w:val="0"/>
              <w:jc w:val="center"/>
              <w:rPr>
                <w:rFonts w:ascii="Century Gothic" w:hAnsi="Century Gothic"/>
                <w:strike/>
                <w:color w:val="FF0000"/>
                <w:sz w:val="20"/>
                <w:szCs w:val="20"/>
              </w:rPr>
            </w:pPr>
            <w:r w:rsidRPr="00AF5692">
              <w:rPr>
                <w:rFonts w:ascii="Century Gothic" w:hAnsi="Century Gothic"/>
                <w:strike/>
                <w:color w:val="FF0000"/>
                <w:sz w:val="20"/>
                <w:szCs w:val="20"/>
              </w:rPr>
              <w:t>TAK</w:t>
            </w:r>
          </w:p>
          <w:p w:rsidR="00AF5692" w:rsidRDefault="00AF5692" w:rsidP="002454E8">
            <w:pPr>
              <w:snapToGrid w:val="0"/>
              <w:jc w:val="center"/>
              <w:rPr>
                <w:rFonts w:ascii="Century Gothic" w:hAnsi="Century Gothic"/>
                <w:strike/>
                <w:color w:val="FF0000"/>
                <w:sz w:val="20"/>
                <w:szCs w:val="20"/>
              </w:rPr>
            </w:pPr>
          </w:p>
          <w:p w:rsidR="00AF5692" w:rsidRPr="00AF5692" w:rsidRDefault="00AF5692" w:rsidP="002454E8">
            <w:pPr>
              <w:snapToGrid w:val="0"/>
              <w:jc w:val="center"/>
              <w:rPr>
                <w:rFonts w:ascii="Century Gothic" w:hAnsi="Century Gothic"/>
                <w:sz w:val="20"/>
                <w:szCs w:val="20"/>
              </w:rPr>
            </w:pPr>
            <w:r w:rsidRPr="00AF5692">
              <w:rPr>
                <w:rFonts w:ascii="Century Gothic" w:hAnsi="Century Gothic"/>
                <w:color w:val="FF0000"/>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AF5692"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AF5692" w:rsidRDefault="00A41482" w:rsidP="002454E8">
            <w:pPr>
              <w:jc w:val="center"/>
              <w:rPr>
                <w:rFonts w:ascii="Century Gothic" w:hAnsi="Century Gothic"/>
                <w:color w:val="FF0000"/>
                <w:sz w:val="20"/>
                <w:szCs w:val="20"/>
              </w:rPr>
            </w:pPr>
          </w:p>
          <w:p w:rsidR="00AF5692" w:rsidRPr="00AF5692" w:rsidRDefault="00AF5692" w:rsidP="002454E8">
            <w:pPr>
              <w:jc w:val="center"/>
              <w:rPr>
                <w:rFonts w:ascii="Century Gothic" w:hAnsi="Century Gothic"/>
                <w:color w:val="FF0000"/>
                <w:sz w:val="20"/>
                <w:szCs w:val="20"/>
              </w:rPr>
            </w:pPr>
          </w:p>
          <w:p w:rsidR="00AF5692" w:rsidRPr="00AF5692" w:rsidRDefault="00AF5692" w:rsidP="002454E8">
            <w:pPr>
              <w:jc w:val="center"/>
              <w:rPr>
                <w:rFonts w:ascii="Century Gothic" w:hAnsi="Century Gothic"/>
                <w:color w:val="FF0000"/>
                <w:sz w:val="20"/>
                <w:szCs w:val="20"/>
              </w:rPr>
            </w:pPr>
            <w:r w:rsidRPr="00AF5692">
              <w:rPr>
                <w:rFonts w:ascii="Century Gothic" w:hAnsi="Century Gothic"/>
                <w:color w:val="FF0000"/>
                <w:sz w:val="20"/>
                <w:szCs w:val="20"/>
              </w:rPr>
              <w:t>tak – 1 pkt., nie – 0 pkt.</w:t>
            </w:r>
          </w:p>
        </w:tc>
      </w:tr>
      <w:tr w:rsidR="00A41482" w:rsidRPr="00915CAA" w:rsidTr="00A6056C">
        <w:tc>
          <w:tcPr>
            <w:tcW w:w="14567" w:type="dxa"/>
            <w:gridSpan w:val="5"/>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Pompy TCI-TIVA</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xml:space="preserve">Urządzenia fabrycznie nowe, niepowystawowe w najnowszej wersji sprzętowej na dzień składania oferty </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Zabezpieczenie pompy przed przypadkowym zalaniem układów mechaniki i elektroniki, podać stopień ochrony IP – wymagany nie mniej niż IP22</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Pompa strzykawkowa sterowana elektronicznie umożliwiająca współpracę z systemem centralnego zasilania i zarządzania danymi</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A6056C">
            <w:pPr>
              <w:snapToGrid w:val="0"/>
              <w:jc w:val="both"/>
              <w:rPr>
                <w:rFonts w:ascii="Century Gothic" w:hAnsi="Century Gothic"/>
                <w:sz w:val="20"/>
                <w:szCs w:val="20"/>
              </w:rPr>
            </w:pPr>
            <w:r w:rsidRPr="00915CAA">
              <w:rPr>
                <w:rFonts w:ascii="Century Gothic" w:hAnsi="Century Gothic"/>
                <w:sz w:val="20"/>
                <w:szCs w:val="20"/>
              </w:rPr>
              <w:t>Strzykawka mocowana od przodu automatycznie (wersja 1)</w:t>
            </w:r>
          </w:p>
          <w:p w:rsidR="00A41482" w:rsidRPr="00915CAA" w:rsidRDefault="00A41482" w:rsidP="00A6056C">
            <w:pPr>
              <w:snapToGrid w:val="0"/>
              <w:jc w:val="both"/>
              <w:rPr>
                <w:rFonts w:ascii="Century Gothic" w:hAnsi="Century Gothic"/>
                <w:sz w:val="20"/>
                <w:szCs w:val="20"/>
              </w:rPr>
            </w:pPr>
            <w:r w:rsidRPr="00915CAA">
              <w:rPr>
                <w:rFonts w:ascii="Century Gothic" w:hAnsi="Century Gothic"/>
                <w:sz w:val="20"/>
                <w:szCs w:val="20"/>
              </w:rPr>
              <w:t>lub</w:t>
            </w:r>
          </w:p>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lastRenderedPageBreak/>
              <w:t>Strzykawka mocowana od przodu manualnie, tj. możliwość zamocowania strzykawki zarówno przy włączonej jak i wyłączonej pompie (wersja 2)</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lastRenderedPageBreak/>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A6056C">
            <w:pPr>
              <w:snapToGrid w:val="0"/>
              <w:jc w:val="center"/>
              <w:rPr>
                <w:rFonts w:ascii="Century Gothic" w:hAnsi="Century Gothic"/>
                <w:sz w:val="20"/>
                <w:szCs w:val="20"/>
              </w:rPr>
            </w:pPr>
            <w:r w:rsidRPr="00915CAA">
              <w:rPr>
                <w:rFonts w:ascii="Century Gothic" w:hAnsi="Century Gothic"/>
                <w:sz w:val="20"/>
                <w:szCs w:val="20"/>
              </w:rPr>
              <w:t>Wersja 1 – 2 pkt.</w:t>
            </w:r>
          </w:p>
          <w:p w:rsidR="00A41482" w:rsidRPr="00915CAA" w:rsidRDefault="00A41482" w:rsidP="00855868">
            <w:pPr>
              <w:snapToGrid w:val="0"/>
              <w:jc w:val="center"/>
              <w:rPr>
                <w:rFonts w:ascii="Century Gothic" w:hAnsi="Century Gothic"/>
                <w:sz w:val="20"/>
                <w:szCs w:val="20"/>
              </w:rPr>
            </w:pPr>
            <w:r w:rsidRPr="00915CAA">
              <w:rPr>
                <w:rFonts w:ascii="Century Gothic" w:hAnsi="Century Gothic"/>
                <w:sz w:val="20"/>
                <w:szCs w:val="20"/>
              </w:rPr>
              <w:t>Wersja 2 – 1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Możliwość zatrzaskowego mocowania i współpracy ze stacją dokującą (pompa umieszczona w stacji dokującej jest z niej bezpośrednio zasilana)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7C74C8">
            <w:pPr>
              <w:snapToGrid w:val="0"/>
              <w:jc w:val="both"/>
              <w:rPr>
                <w:rFonts w:ascii="Century Gothic" w:hAnsi="Century Gothic"/>
                <w:sz w:val="20"/>
                <w:szCs w:val="20"/>
              </w:rPr>
            </w:pPr>
            <w:r w:rsidRPr="00915CAA">
              <w:rPr>
                <w:rFonts w:ascii="Century Gothic" w:hAnsi="Century Gothic"/>
                <w:sz w:val="20"/>
                <w:szCs w:val="20"/>
              </w:rPr>
              <w:t xml:space="preserve">Zasilanie przy użyciu zasilacza zewnętrznego </w:t>
            </w:r>
            <w:r w:rsidRPr="007C74C8">
              <w:rPr>
                <w:rFonts w:ascii="Century Gothic" w:hAnsi="Century Gothic"/>
                <w:color w:val="FF0000"/>
                <w:sz w:val="20"/>
                <w:szCs w:val="20"/>
              </w:rPr>
              <w:t>lub bezpośrednio z sieci za pomocą kabla</w:t>
            </w:r>
            <w:r w:rsidR="007C74C8" w:rsidRPr="007C74C8">
              <w:rPr>
                <w:rFonts w:ascii="Century Gothic" w:hAnsi="Century Gothic"/>
                <w:color w:val="FF0000"/>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Czas pracy z akumulatora min. 6 godzi przy infuzji 5ml/godz.</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A6056C">
            <w:pPr>
              <w:jc w:val="center"/>
              <w:rPr>
                <w:rFonts w:ascii="Century Gothic" w:hAnsi="Century Gothic"/>
                <w:sz w:val="20"/>
                <w:szCs w:val="20"/>
              </w:rPr>
            </w:pPr>
            <w:r w:rsidRPr="00915CAA">
              <w:rPr>
                <w:rFonts w:ascii="Century Gothic" w:hAnsi="Century Gothic"/>
                <w:sz w:val="20"/>
                <w:szCs w:val="20"/>
              </w:rPr>
              <w:t>≥ 10 godzin – 1 pkt.</w:t>
            </w:r>
          </w:p>
          <w:p w:rsidR="00A41482" w:rsidRPr="00915CAA" w:rsidRDefault="00A41482" w:rsidP="00F83F28">
            <w:pPr>
              <w:jc w:val="center"/>
              <w:rPr>
                <w:rFonts w:ascii="Century Gothic" w:hAnsi="Century Gothic"/>
                <w:sz w:val="20"/>
                <w:szCs w:val="20"/>
              </w:rPr>
            </w:pPr>
            <w:r w:rsidRPr="00915CAA">
              <w:rPr>
                <w:rFonts w:ascii="Century Gothic" w:hAnsi="Century Gothic"/>
                <w:sz w:val="20"/>
                <w:szCs w:val="20"/>
              </w:rPr>
              <w:t>≥ 25 godzin – 2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Masa pompy max. 2,4 kg</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Możliwość mocowania pompy do rury pionowej, kolumny lub poziomej szyny przy pomocy odłączalnego uchwytu lub uchwytu na stałe wbudowanego w pompę.</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Cała strzykawka stale widoczna podczas pracy pompy – możliwość odczytania objętości ze skali oraz wizualnej kontroli procesu infuzji</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A6056C">
            <w:pPr>
              <w:jc w:val="center"/>
              <w:rPr>
                <w:rFonts w:ascii="Century Gothic" w:hAnsi="Century Gothic"/>
                <w:sz w:val="20"/>
                <w:szCs w:val="20"/>
              </w:rPr>
            </w:pPr>
            <w:r w:rsidRPr="00915CAA">
              <w:rPr>
                <w:rFonts w:ascii="Century Gothic" w:hAnsi="Century Gothic"/>
                <w:sz w:val="20"/>
                <w:szCs w:val="20"/>
              </w:rPr>
              <w:t>Tak – 0,5 pkt.</w:t>
            </w:r>
          </w:p>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7C74C8">
            <w:pPr>
              <w:snapToGrid w:val="0"/>
              <w:jc w:val="both"/>
              <w:rPr>
                <w:rFonts w:ascii="Century Gothic" w:hAnsi="Century Gothic"/>
                <w:sz w:val="20"/>
                <w:szCs w:val="20"/>
              </w:rPr>
            </w:pPr>
            <w:r w:rsidRPr="00915CAA">
              <w:rPr>
                <w:rFonts w:ascii="Century Gothic" w:hAnsi="Century Gothic"/>
                <w:sz w:val="20"/>
                <w:szCs w:val="20"/>
              </w:rPr>
              <w:t xml:space="preserve">Podświetlany ekran i przyciski </w:t>
            </w:r>
            <w:r w:rsidR="007C74C8" w:rsidRPr="007C74C8">
              <w:rPr>
                <w:rFonts w:ascii="Century Gothic" w:hAnsi="Century Gothic"/>
                <w:color w:val="FF0000"/>
                <w:sz w:val="20"/>
                <w:szCs w:val="20"/>
              </w:rPr>
              <w:t xml:space="preserve">lub </w:t>
            </w:r>
            <w:r w:rsidR="007C74C8" w:rsidRPr="007C74C8">
              <w:rPr>
                <w:rFonts w:ascii="Century Gothic" w:hAnsi="Century Gothic"/>
                <w:color w:val="FF0000"/>
                <w:sz w:val="20"/>
                <w:szCs w:val="20"/>
                <w:lang w:eastAsia="pl-PL"/>
              </w:rPr>
              <w:t>pompy z podświetlanym ekranem  bez podświetlania klawiatury (klawiatura symboliczna, która nie wymaga doświetlenia)</w:t>
            </w:r>
            <w:r w:rsidR="007C74C8">
              <w:rPr>
                <w:rFonts w:ascii="Century Gothic" w:hAnsi="Century Gothic"/>
                <w:color w:val="FF0000"/>
                <w:sz w:val="20"/>
                <w:szCs w:val="20"/>
                <w:lang w:eastAsia="pl-PL"/>
              </w:rPr>
              <w:t>.</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A6056C">
            <w:pPr>
              <w:snapToGrid w:val="0"/>
              <w:jc w:val="both"/>
              <w:rPr>
                <w:rFonts w:ascii="Century Gothic" w:hAnsi="Century Gothic"/>
                <w:sz w:val="20"/>
                <w:szCs w:val="20"/>
              </w:rPr>
            </w:pPr>
            <w:r w:rsidRPr="00915CAA">
              <w:rPr>
                <w:rFonts w:ascii="Century Gothic" w:hAnsi="Century Gothic"/>
                <w:sz w:val="20"/>
                <w:szCs w:val="20"/>
              </w:rPr>
              <w:t>Czytelny wyświetlacz z możliwością wyświetlenia minimum następujących informacji:</w:t>
            </w:r>
          </w:p>
          <w:p w:rsidR="00A41482" w:rsidRPr="00915CAA" w:rsidRDefault="00A41482" w:rsidP="00A6056C">
            <w:pPr>
              <w:snapToGrid w:val="0"/>
              <w:jc w:val="both"/>
              <w:rPr>
                <w:rFonts w:ascii="Century Gothic" w:hAnsi="Century Gothic"/>
                <w:sz w:val="20"/>
                <w:szCs w:val="20"/>
              </w:rPr>
            </w:pPr>
            <w:r w:rsidRPr="00915CAA">
              <w:rPr>
                <w:rFonts w:ascii="Century Gothic" w:hAnsi="Century Gothic"/>
                <w:sz w:val="20"/>
                <w:szCs w:val="20"/>
              </w:rPr>
              <w:t>- nazwa leku,</w:t>
            </w:r>
          </w:p>
          <w:p w:rsidR="00A41482" w:rsidRPr="00915CAA" w:rsidRDefault="00A41482" w:rsidP="00A6056C">
            <w:pPr>
              <w:snapToGrid w:val="0"/>
              <w:jc w:val="both"/>
              <w:rPr>
                <w:rFonts w:ascii="Century Gothic" w:hAnsi="Century Gothic"/>
                <w:sz w:val="20"/>
                <w:szCs w:val="20"/>
              </w:rPr>
            </w:pPr>
            <w:r w:rsidRPr="00915CAA">
              <w:rPr>
                <w:rFonts w:ascii="Century Gothic" w:hAnsi="Century Gothic"/>
                <w:sz w:val="20"/>
                <w:szCs w:val="20"/>
              </w:rPr>
              <w:t>- koncentracja leku,</w:t>
            </w:r>
          </w:p>
          <w:p w:rsidR="00A41482" w:rsidRPr="00915CAA" w:rsidRDefault="00A41482" w:rsidP="00A6056C">
            <w:pPr>
              <w:snapToGrid w:val="0"/>
              <w:jc w:val="both"/>
              <w:rPr>
                <w:rFonts w:ascii="Century Gothic" w:hAnsi="Century Gothic"/>
                <w:sz w:val="20"/>
                <w:szCs w:val="20"/>
              </w:rPr>
            </w:pPr>
            <w:r w:rsidRPr="00915CAA">
              <w:rPr>
                <w:rFonts w:ascii="Century Gothic" w:hAnsi="Century Gothic"/>
                <w:sz w:val="20"/>
                <w:szCs w:val="20"/>
              </w:rPr>
              <w:t>- prędkość infuzji,</w:t>
            </w:r>
          </w:p>
          <w:p w:rsidR="00A41482" w:rsidRPr="00915CAA" w:rsidRDefault="00A41482" w:rsidP="00A6056C">
            <w:pPr>
              <w:snapToGrid w:val="0"/>
              <w:jc w:val="both"/>
              <w:rPr>
                <w:rFonts w:ascii="Century Gothic" w:hAnsi="Century Gothic"/>
                <w:sz w:val="20"/>
                <w:szCs w:val="20"/>
              </w:rPr>
            </w:pPr>
            <w:r w:rsidRPr="00915CAA">
              <w:rPr>
                <w:rFonts w:ascii="Century Gothic" w:hAnsi="Century Gothic"/>
                <w:sz w:val="20"/>
                <w:szCs w:val="20"/>
              </w:rPr>
              <w:t>- podana dawka,</w:t>
            </w:r>
          </w:p>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stan naładowania akumulatora,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Przekątna ekranu w calach</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Dokładność mechaniczna ≤±2%</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Default="00A41482" w:rsidP="00855868">
            <w:pPr>
              <w:jc w:val="center"/>
              <w:rPr>
                <w:rFonts w:ascii="Century Gothic" w:hAnsi="Century Gothic"/>
                <w:sz w:val="20"/>
                <w:szCs w:val="20"/>
              </w:rPr>
            </w:pPr>
            <w:r w:rsidRPr="00915CAA">
              <w:rPr>
                <w:rFonts w:ascii="Century Gothic" w:hAnsi="Century Gothic"/>
                <w:sz w:val="20"/>
                <w:szCs w:val="20"/>
              </w:rPr>
              <w:t>≤</w:t>
            </w:r>
            <w:r w:rsidRPr="009B0AF9">
              <w:rPr>
                <w:rFonts w:ascii="Century Gothic" w:hAnsi="Century Gothic"/>
                <w:sz w:val="20"/>
                <w:szCs w:val="20"/>
              </w:rPr>
              <w:t>±</w:t>
            </w:r>
            <w:r w:rsidRPr="00915CAA">
              <w:rPr>
                <w:rFonts w:ascii="Century Gothic" w:hAnsi="Century Gothic"/>
                <w:sz w:val="20"/>
                <w:szCs w:val="20"/>
              </w:rPr>
              <w:t xml:space="preserve"> 0,5% - 2 pkt.</w:t>
            </w:r>
          </w:p>
          <w:p w:rsidR="00A41482" w:rsidRPr="00915CAA" w:rsidRDefault="00A41482" w:rsidP="00855868">
            <w:pPr>
              <w:jc w:val="center"/>
              <w:rPr>
                <w:rFonts w:ascii="Century Gothic" w:hAnsi="Century Gothic"/>
                <w:sz w:val="20"/>
                <w:szCs w:val="20"/>
              </w:rPr>
            </w:pPr>
            <w:r>
              <w:rPr>
                <w:rFonts w:ascii="Century Gothic" w:hAnsi="Century Gothic"/>
                <w:sz w:val="20"/>
                <w:szCs w:val="20"/>
              </w:rPr>
              <w:t>Pozostałe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855868">
            <w:pPr>
              <w:snapToGrid w:val="0"/>
              <w:jc w:val="both"/>
              <w:rPr>
                <w:rFonts w:ascii="Century Gothic" w:hAnsi="Century Gothic"/>
                <w:sz w:val="20"/>
                <w:szCs w:val="20"/>
              </w:rPr>
            </w:pPr>
            <w:r w:rsidRPr="00915CAA">
              <w:rPr>
                <w:rFonts w:ascii="Century Gothic" w:hAnsi="Century Gothic"/>
                <w:sz w:val="20"/>
                <w:szCs w:val="20"/>
              </w:rPr>
              <w:t xml:space="preserve">Mechanizm blokujący tłok zapobiegający samoczynnemu opróżnianiu strzykawki, </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both"/>
              <w:rPr>
                <w:rFonts w:ascii="Century Gothic" w:hAnsi="Century Gothic"/>
                <w:sz w:val="20"/>
                <w:szCs w:val="20"/>
              </w:rPr>
            </w:pPr>
            <w:r w:rsidRPr="00915CAA">
              <w:rPr>
                <w:rFonts w:ascii="Century Gothic" w:hAnsi="Century Gothic"/>
                <w:sz w:val="20"/>
                <w:szCs w:val="20"/>
              </w:rPr>
              <w:t>Automatyczna funkcja antybolus po okluzji – zabezpieczenie przed podaniem niekontrolowanego bolusa po alarmie okluzji</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Default="00AF5692" w:rsidP="003F3593">
            <w:pPr>
              <w:snapToGrid w:val="0"/>
              <w:jc w:val="center"/>
              <w:rPr>
                <w:rFonts w:ascii="Century Gothic" w:hAnsi="Century Gothic"/>
                <w:strike/>
                <w:color w:val="FF0000"/>
                <w:sz w:val="20"/>
                <w:szCs w:val="20"/>
              </w:rPr>
            </w:pPr>
            <w:r w:rsidRPr="007C74C8">
              <w:rPr>
                <w:rFonts w:ascii="Century Gothic" w:hAnsi="Century Gothic"/>
                <w:strike/>
                <w:color w:val="FF0000"/>
                <w:sz w:val="20"/>
                <w:szCs w:val="20"/>
              </w:rPr>
              <w:t>Tak</w:t>
            </w:r>
          </w:p>
          <w:p w:rsidR="00AF5692" w:rsidRDefault="00AF5692" w:rsidP="003F3593">
            <w:pPr>
              <w:snapToGrid w:val="0"/>
              <w:jc w:val="center"/>
              <w:rPr>
                <w:rFonts w:ascii="Century Gothic" w:hAnsi="Century Gothic"/>
                <w:strike/>
                <w:color w:val="FF0000"/>
                <w:sz w:val="20"/>
                <w:szCs w:val="20"/>
              </w:rPr>
            </w:pPr>
          </w:p>
          <w:p w:rsidR="00AF5692" w:rsidRPr="007C74C8" w:rsidRDefault="00AF5692" w:rsidP="003F3593">
            <w:pPr>
              <w:snapToGrid w:val="0"/>
              <w:jc w:val="center"/>
              <w:rPr>
                <w:rFonts w:ascii="Century Gothic" w:hAnsi="Century Gothic"/>
                <w:sz w:val="20"/>
                <w:szCs w:val="20"/>
              </w:rPr>
            </w:pPr>
            <w:r w:rsidRPr="007C74C8">
              <w:rPr>
                <w:rFonts w:ascii="Century Gothic" w:hAnsi="Century Gothic"/>
                <w:color w:val="FF0000"/>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3F3593">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F5692" w:rsidRDefault="00AF5692" w:rsidP="003F3593">
            <w:pPr>
              <w:pBdr>
                <w:bottom w:val="single" w:sz="6" w:space="1" w:color="auto"/>
              </w:pBdr>
              <w:jc w:val="center"/>
              <w:rPr>
                <w:rFonts w:ascii="Century Gothic" w:hAnsi="Century Gothic"/>
                <w:sz w:val="20"/>
                <w:szCs w:val="20"/>
              </w:rPr>
            </w:pPr>
          </w:p>
          <w:p w:rsidR="00AF5692" w:rsidRDefault="00AF5692" w:rsidP="003F3593">
            <w:pPr>
              <w:jc w:val="center"/>
              <w:rPr>
                <w:rFonts w:ascii="Century Gothic" w:hAnsi="Century Gothic"/>
                <w:sz w:val="20"/>
                <w:szCs w:val="20"/>
              </w:rPr>
            </w:pPr>
          </w:p>
          <w:p w:rsidR="00AF5692" w:rsidRPr="00915CAA" w:rsidRDefault="00AF5692" w:rsidP="003F3593">
            <w:pPr>
              <w:jc w:val="center"/>
              <w:rPr>
                <w:rFonts w:ascii="Century Gothic" w:hAnsi="Century Gothic"/>
                <w:sz w:val="20"/>
                <w:szCs w:val="20"/>
              </w:rPr>
            </w:pPr>
            <w:r w:rsidRPr="007C74C8">
              <w:rPr>
                <w:rFonts w:ascii="Century Gothic" w:hAnsi="Century Gothic"/>
                <w:color w:val="FF0000"/>
                <w:sz w:val="20"/>
                <w:szCs w:val="20"/>
              </w:rPr>
              <w:t>tak – 2 pkt., nie – 0 pkt.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F5692" w:rsidRPr="00915CAA" w:rsidRDefault="00AF5692" w:rsidP="002454E8">
            <w:pPr>
              <w:snapToGrid w:val="0"/>
              <w:jc w:val="both"/>
              <w:rPr>
                <w:rFonts w:ascii="Century Gothic" w:hAnsi="Century Gothic"/>
                <w:sz w:val="20"/>
                <w:szCs w:val="20"/>
              </w:rPr>
            </w:pPr>
            <w:r w:rsidRPr="00915CAA">
              <w:rPr>
                <w:rFonts w:ascii="Century Gothic" w:hAnsi="Century Gothic"/>
                <w:sz w:val="20"/>
                <w:szCs w:val="20"/>
              </w:rPr>
              <w:t>Możliwość współpracy pomp z system do kontrolowanej podaży insuliny.</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Default="00AF5692" w:rsidP="002454E8">
            <w:pPr>
              <w:snapToGrid w:val="0"/>
              <w:jc w:val="center"/>
              <w:rPr>
                <w:rFonts w:ascii="Century Gothic" w:hAnsi="Century Gothic"/>
                <w:strike/>
                <w:color w:val="FF0000"/>
                <w:sz w:val="20"/>
                <w:szCs w:val="20"/>
              </w:rPr>
            </w:pPr>
            <w:r w:rsidRPr="007C74C8">
              <w:rPr>
                <w:rFonts w:ascii="Century Gothic" w:hAnsi="Century Gothic"/>
                <w:strike/>
                <w:color w:val="FF0000"/>
                <w:sz w:val="20"/>
                <w:szCs w:val="20"/>
              </w:rPr>
              <w:t>Tak</w:t>
            </w:r>
          </w:p>
          <w:p w:rsidR="00AF5692" w:rsidRDefault="00AF5692" w:rsidP="002454E8">
            <w:pPr>
              <w:snapToGrid w:val="0"/>
              <w:jc w:val="center"/>
              <w:rPr>
                <w:rFonts w:ascii="Century Gothic" w:hAnsi="Century Gothic"/>
                <w:strike/>
                <w:color w:val="FF0000"/>
                <w:sz w:val="20"/>
                <w:szCs w:val="20"/>
              </w:rPr>
            </w:pPr>
          </w:p>
          <w:p w:rsidR="00AF5692" w:rsidRPr="007C74C8" w:rsidRDefault="00AF5692" w:rsidP="002454E8">
            <w:pPr>
              <w:snapToGrid w:val="0"/>
              <w:jc w:val="center"/>
              <w:rPr>
                <w:rFonts w:ascii="Century Gothic" w:hAnsi="Century Gothic"/>
                <w:sz w:val="20"/>
                <w:szCs w:val="20"/>
              </w:rPr>
            </w:pPr>
            <w:r w:rsidRPr="007C74C8">
              <w:rPr>
                <w:rFonts w:ascii="Century Gothic" w:hAnsi="Century Gothic"/>
                <w:color w:val="FF0000"/>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F5692" w:rsidRDefault="00AF5692" w:rsidP="002454E8">
            <w:pPr>
              <w:pBdr>
                <w:bottom w:val="single" w:sz="6" w:space="1" w:color="auto"/>
              </w:pBdr>
              <w:jc w:val="center"/>
              <w:rPr>
                <w:rFonts w:ascii="Century Gothic" w:hAnsi="Century Gothic"/>
                <w:sz w:val="20"/>
                <w:szCs w:val="20"/>
              </w:rPr>
            </w:pPr>
          </w:p>
          <w:p w:rsidR="00AF5692" w:rsidRDefault="00AF5692" w:rsidP="002454E8">
            <w:pPr>
              <w:jc w:val="center"/>
              <w:rPr>
                <w:rFonts w:ascii="Century Gothic" w:hAnsi="Century Gothic"/>
                <w:sz w:val="20"/>
                <w:szCs w:val="20"/>
              </w:rPr>
            </w:pPr>
          </w:p>
          <w:p w:rsidR="00AF5692" w:rsidRPr="00915CAA" w:rsidRDefault="00AF5692" w:rsidP="002454E8">
            <w:pPr>
              <w:jc w:val="center"/>
              <w:rPr>
                <w:rFonts w:ascii="Century Gothic" w:hAnsi="Century Gothic"/>
                <w:sz w:val="20"/>
                <w:szCs w:val="20"/>
              </w:rPr>
            </w:pPr>
            <w:r w:rsidRPr="007C74C8">
              <w:rPr>
                <w:rFonts w:ascii="Century Gothic" w:hAnsi="Century Gothic"/>
                <w:color w:val="FF0000"/>
                <w:sz w:val="20"/>
                <w:szCs w:val="20"/>
              </w:rPr>
              <w:t>tak – 2 pkt., nie – 0 pkt.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F5692" w:rsidRDefault="00AF5692" w:rsidP="007C74C8">
            <w:pPr>
              <w:snapToGrid w:val="0"/>
              <w:jc w:val="both"/>
              <w:rPr>
                <w:rFonts w:ascii="Century Gothic" w:hAnsi="Century Gothic"/>
                <w:color w:val="FF0000"/>
                <w:sz w:val="20"/>
                <w:szCs w:val="20"/>
              </w:rPr>
            </w:pPr>
            <w:r w:rsidRPr="00915CAA">
              <w:rPr>
                <w:rFonts w:ascii="Century Gothic" w:hAnsi="Century Gothic"/>
                <w:sz w:val="20"/>
                <w:szCs w:val="20"/>
              </w:rPr>
              <w:t xml:space="preserve">Możliwość programowania parametrów infuzji w jednostkach minimum: ng, µg, mg, IU, kIU, kcal lub mmol,  z uwzględnieniem lub nie masy ciała w odniesieniu do czasu (np. mg/kg/min; mg/kg/h; mg/kg/24h) </w:t>
            </w:r>
            <w:r w:rsidRPr="007C74C8">
              <w:rPr>
                <w:rFonts w:ascii="Century Gothic" w:hAnsi="Century Gothic"/>
                <w:color w:val="FF0000"/>
                <w:sz w:val="20"/>
                <w:szCs w:val="20"/>
              </w:rPr>
              <w:t>lub</w:t>
            </w:r>
            <w:r>
              <w:rPr>
                <w:rFonts w:ascii="Century Gothic" w:hAnsi="Century Gothic"/>
                <w:color w:val="FF0000"/>
                <w:sz w:val="20"/>
                <w:szCs w:val="20"/>
              </w:rPr>
              <w:t>:</w:t>
            </w:r>
          </w:p>
          <w:p w:rsidR="00AF5692" w:rsidRDefault="00AF5692" w:rsidP="007C74C8">
            <w:pPr>
              <w:snapToGrid w:val="0"/>
              <w:jc w:val="both"/>
              <w:rPr>
                <w:rFonts w:ascii="Century Gothic" w:hAnsi="Century Gothic"/>
                <w:color w:val="FF0000"/>
                <w:sz w:val="20"/>
                <w:szCs w:val="20"/>
                <w:lang w:eastAsia="pl-PL"/>
              </w:rPr>
            </w:pPr>
            <w:r>
              <w:rPr>
                <w:rFonts w:ascii="Century Gothic" w:hAnsi="Century Gothic"/>
                <w:color w:val="FF0000"/>
                <w:sz w:val="20"/>
                <w:szCs w:val="20"/>
              </w:rPr>
              <w:t>-</w:t>
            </w:r>
            <w:r w:rsidRPr="007C74C8">
              <w:rPr>
                <w:rFonts w:ascii="Century Gothic" w:hAnsi="Century Gothic"/>
                <w:color w:val="FF0000"/>
                <w:sz w:val="20"/>
                <w:szCs w:val="20"/>
              </w:rPr>
              <w:t xml:space="preserve"> </w:t>
            </w:r>
            <w:r>
              <w:rPr>
                <w:rFonts w:ascii="Century Gothic" w:hAnsi="Century Gothic"/>
                <w:color w:val="FF0000"/>
                <w:sz w:val="20"/>
                <w:szCs w:val="20"/>
                <w:lang w:eastAsia="pl-PL"/>
              </w:rPr>
              <w:t>m</w:t>
            </w:r>
            <w:r w:rsidRPr="007C74C8">
              <w:rPr>
                <w:rFonts w:ascii="Century Gothic" w:hAnsi="Century Gothic"/>
                <w:color w:val="FF0000"/>
                <w:sz w:val="20"/>
                <w:szCs w:val="20"/>
                <w:lang w:eastAsia="pl-PL"/>
              </w:rPr>
              <w:t xml:space="preserve">ożliwość  programowania infuzji w jednostkach masy: ng,  μg, mg, g, mmol, mU, U, kcal, mEq  , </w:t>
            </w:r>
            <w:r w:rsidRPr="007C74C8">
              <w:rPr>
                <w:rFonts w:ascii="Century Gothic" w:hAnsi="Century Gothic" w:cs="Garamond"/>
                <w:color w:val="FF0000"/>
                <w:sz w:val="20"/>
                <w:szCs w:val="20"/>
                <w:lang w:eastAsia="pl-PL"/>
              </w:rPr>
              <w:t>–</w:t>
            </w:r>
            <w:r w:rsidRPr="007C74C8">
              <w:rPr>
                <w:rFonts w:ascii="Century Gothic" w:hAnsi="Century Gothic"/>
                <w:color w:val="FF0000"/>
                <w:sz w:val="20"/>
                <w:szCs w:val="20"/>
                <w:lang w:eastAsia="pl-PL"/>
              </w:rPr>
              <w:t xml:space="preserve">  na kg masy cia</w:t>
            </w:r>
            <w:r w:rsidRPr="007C74C8">
              <w:rPr>
                <w:rFonts w:ascii="Century Gothic" w:hAnsi="Century Gothic" w:cs="Garamond"/>
                <w:color w:val="FF0000"/>
                <w:sz w:val="20"/>
                <w:szCs w:val="20"/>
                <w:lang w:eastAsia="pl-PL"/>
              </w:rPr>
              <w:t>ł</w:t>
            </w:r>
            <w:r w:rsidRPr="007C74C8">
              <w:rPr>
                <w:rFonts w:ascii="Century Gothic" w:hAnsi="Century Gothic"/>
                <w:color w:val="FF0000"/>
                <w:sz w:val="20"/>
                <w:szCs w:val="20"/>
                <w:lang w:eastAsia="pl-PL"/>
              </w:rPr>
              <w:t>a pacjenta lub nie, na czas (na 24godziny, godzin</w:t>
            </w:r>
            <w:r w:rsidRPr="007C74C8">
              <w:rPr>
                <w:rFonts w:ascii="Century Gothic" w:hAnsi="Century Gothic" w:cs="Garamond"/>
                <w:color w:val="FF0000"/>
                <w:sz w:val="20"/>
                <w:szCs w:val="20"/>
                <w:lang w:eastAsia="pl-PL"/>
              </w:rPr>
              <w:t>ę</w:t>
            </w:r>
            <w:r w:rsidRPr="007C74C8">
              <w:rPr>
                <w:rFonts w:ascii="Century Gothic" w:hAnsi="Century Gothic"/>
                <w:color w:val="FF0000"/>
                <w:sz w:val="20"/>
                <w:szCs w:val="20"/>
                <w:lang w:eastAsia="pl-PL"/>
              </w:rPr>
              <w:t xml:space="preserve"> oraz minut</w:t>
            </w:r>
            <w:r w:rsidRPr="007C74C8">
              <w:rPr>
                <w:rFonts w:ascii="Century Gothic" w:hAnsi="Century Gothic" w:cs="Garamond"/>
                <w:color w:val="FF0000"/>
                <w:sz w:val="20"/>
                <w:szCs w:val="20"/>
                <w:lang w:eastAsia="pl-PL"/>
              </w:rPr>
              <w:t>ę</w:t>
            </w:r>
            <w:r w:rsidRPr="007C74C8">
              <w:rPr>
                <w:rFonts w:ascii="Century Gothic" w:hAnsi="Century Gothic"/>
                <w:color w:val="FF0000"/>
                <w:sz w:val="20"/>
                <w:szCs w:val="20"/>
                <w:lang w:eastAsia="pl-PL"/>
              </w:rPr>
              <w:t>)</w:t>
            </w:r>
            <w:r>
              <w:rPr>
                <w:rFonts w:ascii="Century Gothic" w:hAnsi="Century Gothic"/>
                <w:color w:val="FF0000"/>
                <w:sz w:val="20"/>
                <w:szCs w:val="20"/>
                <w:lang w:eastAsia="pl-PL"/>
              </w:rPr>
              <w:t>, lub:</w:t>
            </w:r>
          </w:p>
          <w:p w:rsidR="00AF5692" w:rsidRPr="00915CAA" w:rsidRDefault="00AF5692" w:rsidP="007C74C8">
            <w:pPr>
              <w:snapToGrid w:val="0"/>
              <w:jc w:val="both"/>
              <w:rPr>
                <w:rFonts w:ascii="Century Gothic" w:hAnsi="Century Gothic"/>
                <w:sz w:val="20"/>
                <w:szCs w:val="20"/>
              </w:rPr>
            </w:pPr>
            <w:r>
              <w:rPr>
                <w:rFonts w:ascii="Century Gothic" w:hAnsi="Century Gothic"/>
                <w:color w:val="FF0000"/>
                <w:sz w:val="20"/>
                <w:szCs w:val="20"/>
                <w:lang w:eastAsia="pl-PL"/>
              </w:rPr>
              <w:t xml:space="preserve">- </w:t>
            </w:r>
            <w:r w:rsidRPr="00AF5692">
              <w:rPr>
                <w:rFonts w:ascii="Century Gothic" w:hAnsi="Century Gothic"/>
                <w:color w:val="FF0000"/>
                <w:sz w:val="20"/>
                <w:szCs w:val="20"/>
                <w:lang w:eastAsia="pl-PL"/>
              </w:rPr>
              <w:t>możliwość programowania w jednostkach: ng, μg, mg, g, ml z uwzględnieniem lub nie masy ciała w odniesieniu do czasu: min, godz, 24 godz</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jc w:val="center"/>
              <w:rPr>
                <w:rFonts w:ascii="Century Gothic" w:hAnsi="Century Gothic"/>
                <w:sz w:val="20"/>
                <w:szCs w:val="20"/>
              </w:rPr>
            </w:pPr>
            <w:r w:rsidRPr="00915CAA">
              <w:rPr>
                <w:rFonts w:ascii="Century Gothic" w:hAnsi="Century Gothic"/>
                <w:sz w:val="20"/>
                <w:szCs w:val="20"/>
              </w:rPr>
              <w: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both"/>
              <w:rPr>
                <w:rFonts w:ascii="Century Gothic" w:hAnsi="Century Gothic"/>
                <w:sz w:val="20"/>
                <w:szCs w:val="20"/>
              </w:rPr>
            </w:pPr>
            <w:r w:rsidRPr="00915CAA">
              <w:rPr>
                <w:rFonts w:ascii="Century Gothic" w:hAnsi="Century Gothic"/>
                <w:sz w:val="20"/>
                <w:szCs w:val="20"/>
              </w:rPr>
              <w:t xml:space="preserve">Pompa skalibrowana do pracy ze strzykawkami o objętości min. 5, 10, 20 i 50/60 ml różnych typów oraz różnych producentów </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855868">
            <w:pPr>
              <w:snapToGrid w:val="0"/>
              <w:jc w:val="both"/>
              <w:rPr>
                <w:rFonts w:ascii="Century Gothic" w:hAnsi="Century Gothic"/>
                <w:sz w:val="20"/>
                <w:szCs w:val="20"/>
              </w:rPr>
            </w:pPr>
            <w:r w:rsidRPr="00915CAA">
              <w:rPr>
                <w:rFonts w:ascii="Century Gothic" w:hAnsi="Century Gothic"/>
                <w:sz w:val="20"/>
                <w:szCs w:val="20"/>
              </w:rPr>
              <w:t>Obsługa strzykawek 2,3 ml – 1 pkt, wymagane – 0 pkt.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A6056C">
            <w:pPr>
              <w:snapToGrid w:val="0"/>
              <w:jc w:val="both"/>
              <w:rPr>
                <w:rFonts w:ascii="Century Gothic" w:hAnsi="Century Gothic"/>
                <w:sz w:val="20"/>
                <w:szCs w:val="20"/>
              </w:rPr>
            </w:pPr>
            <w:r w:rsidRPr="00915CAA">
              <w:rPr>
                <w:rFonts w:ascii="Century Gothic" w:hAnsi="Century Gothic"/>
                <w:sz w:val="20"/>
                <w:szCs w:val="20"/>
              </w:rPr>
              <w:t>Zakres prędkości infuzji min. 0,1 do 999,9 ml/h.</w:t>
            </w:r>
          </w:p>
          <w:p w:rsidR="00AF5692" w:rsidRPr="00915CAA" w:rsidRDefault="00AF5692" w:rsidP="00E35059">
            <w:pPr>
              <w:snapToGrid w:val="0"/>
              <w:jc w:val="both"/>
              <w:rPr>
                <w:rFonts w:ascii="Century Gothic" w:hAnsi="Century Gothic"/>
                <w:sz w:val="20"/>
                <w:szCs w:val="20"/>
              </w:rPr>
            </w:pPr>
            <w:r w:rsidRPr="00915CAA">
              <w:rPr>
                <w:rFonts w:ascii="Century Gothic" w:hAnsi="Century Gothic"/>
                <w:sz w:val="20"/>
                <w:szCs w:val="20"/>
              </w:rPr>
              <w:t xml:space="preserve">Prędkość infuzji w zakresie min. 0,1 - 9,99ml/h programowana co min. 0,01ml/godz. </w:t>
            </w:r>
            <w:r w:rsidR="00E35059" w:rsidRPr="00E35059">
              <w:rPr>
                <w:rFonts w:ascii="Century Gothic" w:hAnsi="Century Gothic"/>
                <w:color w:val="FF0000"/>
                <w:sz w:val="20"/>
                <w:szCs w:val="20"/>
              </w:rPr>
              <w:t xml:space="preserve">lub </w:t>
            </w:r>
            <w:r w:rsidR="00E35059" w:rsidRPr="00E35059">
              <w:rPr>
                <w:rFonts w:ascii="Century Gothic" w:hAnsi="Century Gothic"/>
                <w:color w:val="FF0000"/>
                <w:sz w:val="20"/>
                <w:szCs w:val="20"/>
                <w:lang w:eastAsia="pl-PL"/>
              </w:rPr>
              <w:t xml:space="preserve">pompy infuzyjne dedykowane do TIVA/TCI z zakresami </w:t>
            </w:r>
            <w:r w:rsidR="00E35059" w:rsidRPr="00E35059">
              <w:rPr>
                <w:rFonts w:ascii="Century Gothic" w:hAnsi="Century Gothic"/>
                <w:color w:val="FF0000"/>
                <w:sz w:val="20"/>
                <w:szCs w:val="20"/>
                <w:lang w:eastAsia="pl-PL"/>
              </w:rPr>
              <w:lastRenderedPageBreak/>
              <w:t>prędkośći infuzji: 0,10-9,99 ml/h (co 0,01 ml/h), 10,0-99,9 ml/h (co 0,1 ml/h), 100-999 ml/h (co 1 ml/h), 1000-1200 ml/h (co 10 ml/h)</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center"/>
              <w:rPr>
                <w:rFonts w:ascii="Century Gothic" w:hAnsi="Century Gothic"/>
                <w:sz w:val="20"/>
                <w:szCs w:val="20"/>
              </w:rPr>
            </w:pPr>
            <w:r w:rsidRPr="00915CAA">
              <w:rPr>
                <w:rFonts w:ascii="Century Gothic" w:hAnsi="Century Gothic"/>
                <w:sz w:val="20"/>
                <w:szCs w:val="20"/>
              </w:rPr>
              <w:lastRenderedPageBreak/>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jc w:val="center"/>
              <w:rPr>
                <w:rFonts w:ascii="Century Gothic" w:hAnsi="Century Gothic"/>
                <w:sz w:val="20"/>
                <w:szCs w:val="20"/>
              </w:rPr>
            </w:pPr>
            <w:r w:rsidRPr="00915CAA">
              <w:rPr>
                <w:rFonts w:ascii="Century Gothic" w:hAnsi="Century Gothic"/>
                <w:sz w:val="20"/>
                <w:szCs w:val="20"/>
              </w:rPr>
              <w: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both"/>
              <w:rPr>
                <w:rFonts w:ascii="Century Gothic" w:hAnsi="Century Gothic"/>
                <w:sz w:val="20"/>
                <w:szCs w:val="20"/>
              </w:rPr>
            </w:pPr>
            <w:r w:rsidRPr="00915CAA">
              <w:rPr>
                <w:rFonts w:ascii="Century Gothic" w:hAnsi="Century Gothic"/>
                <w:sz w:val="20"/>
                <w:szCs w:val="20"/>
              </w:rPr>
              <w:t>Zmiana szybkości infuzji bez konieczności przerywania wlewu</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jc w:val="center"/>
              <w:rPr>
                <w:rFonts w:ascii="Century Gothic" w:hAnsi="Century Gothic"/>
                <w:sz w:val="20"/>
                <w:szCs w:val="20"/>
              </w:rPr>
            </w:pPr>
            <w:r w:rsidRPr="00915CAA">
              <w:rPr>
                <w:rFonts w:ascii="Century Gothic" w:hAnsi="Century Gothic"/>
                <w:sz w:val="20"/>
                <w:szCs w:val="20"/>
              </w:rPr>
              <w: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both"/>
              <w:rPr>
                <w:rFonts w:ascii="Century Gothic" w:hAnsi="Century Gothic"/>
                <w:sz w:val="20"/>
                <w:szCs w:val="20"/>
              </w:rPr>
            </w:pPr>
            <w:r w:rsidRPr="00915CAA">
              <w:rPr>
                <w:rFonts w:ascii="Century Gothic" w:hAnsi="Century Gothic"/>
                <w:sz w:val="20"/>
                <w:szCs w:val="20"/>
              </w:rPr>
              <w:t>Możliwość utworzenia biblioteki leków używanych w infuzjoterapii na min. 100 leków wraz z protokołami infuzji (domyślne przepływy, dawki, prędkości bolusa, stężenia itp.), możliwość wyświetlania nazwy leku i/lub wybranych parametrów infuzji.</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A6056C">
            <w:pPr>
              <w:jc w:val="center"/>
              <w:rPr>
                <w:rFonts w:ascii="Century Gothic" w:hAnsi="Century Gothic"/>
                <w:sz w:val="20"/>
                <w:szCs w:val="20"/>
              </w:rPr>
            </w:pPr>
            <w:r w:rsidRPr="00915CAA">
              <w:rPr>
                <w:rFonts w:ascii="Century Gothic" w:hAnsi="Century Gothic"/>
                <w:sz w:val="20"/>
                <w:szCs w:val="20"/>
              </w:rPr>
              <w:t>≥ 500 leków – 0,5 pkt.</w:t>
            </w:r>
          </w:p>
          <w:p w:rsidR="00AF5692" w:rsidRPr="00915CAA" w:rsidRDefault="00AF5692" w:rsidP="00F83F28">
            <w:pPr>
              <w:jc w:val="center"/>
              <w:rPr>
                <w:rFonts w:ascii="Century Gothic" w:hAnsi="Century Gothic"/>
                <w:sz w:val="20"/>
                <w:szCs w:val="20"/>
              </w:rPr>
            </w:pPr>
            <w:r w:rsidRPr="00915CAA">
              <w:rPr>
                <w:rFonts w:ascii="Century Gothic" w:hAnsi="Century Gothic"/>
                <w:sz w:val="20"/>
                <w:szCs w:val="20"/>
              </w:rPr>
              <w:t>≥ 2000 leków – 1,5 pkt.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A6056C">
            <w:pPr>
              <w:snapToGrid w:val="0"/>
              <w:jc w:val="both"/>
              <w:rPr>
                <w:rFonts w:ascii="Century Gothic" w:hAnsi="Century Gothic"/>
                <w:sz w:val="20"/>
                <w:szCs w:val="20"/>
              </w:rPr>
            </w:pPr>
            <w:r w:rsidRPr="00915CAA">
              <w:rPr>
                <w:rFonts w:ascii="Century Gothic" w:hAnsi="Century Gothic"/>
                <w:sz w:val="20"/>
                <w:szCs w:val="20"/>
              </w:rPr>
              <w:t>Podział biblioteki na osobne grupy dedykowane poszczególnym oddziałom szpitalnym, do min. 20 oddziałów. Wybór oddziału dostępny w pompie.</w:t>
            </w:r>
          </w:p>
          <w:p w:rsidR="00AF5692" w:rsidRPr="00915CAA" w:rsidRDefault="00AF5692" w:rsidP="002454E8">
            <w:pPr>
              <w:snapToGrid w:val="0"/>
              <w:jc w:val="both"/>
              <w:rPr>
                <w:rFonts w:ascii="Century Gothic" w:hAnsi="Century Gothic"/>
                <w:sz w:val="20"/>
                <w:szCs w:val="20"/>
              </w:rPr>
            </w:pPr>
            <w:r w:rsidRPr="00915CAA">
              <w:rPr>
                <w:rFonts w:ascii="Century Gothic" w:hAnsi="Century Gothic"/>
                <w:sz w:val="20"/>
                <w:szCs w:val="20"/>
              </w:rPr>
              <w:t>Podział biblioteki dedykowanej oddziałom na min. 13 kategorii lekowych.</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center"/>
              <w:rPr>
                <w:rFonts w:ascii="Century Gothic" w:hAnsi="Century Gothic"/>
                <w:sz w:val="20"/>
                <w:szCs w:val="20"/>
              </w:rPr>
            </w:pPr>
            <w:r>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A6056C">
            <w:pPr>
              <w:snapToGrid w:val="0"/>
              <w:jc w:val="center"/>
              <w:rPr>
                <w:rFonts w:ascii="Century Gothic" w:hAnsi="Century Gothic"/>
                <w:sz w:val="20"/>
                <w:szCs w:val="20"/>
              </w:rPr>
            </w:pPr>
            <w:r w:rsidRPr="00915CAA">
              <w:rPr>
                <w:rFonts w:ascii="Century Gothic" w:hAnsi="Century Gothic"/>
                <w:sz w:val="20"/>
                <w:szCs w:val="20"/>
              </w:rPr>
              <w:t>Tak – 1 pkt.</w:t>
            </w:r>
          </w:p>
          <w:p w:rsidR="00AF5692" w:rsidRPr="00915CAA" w:rsidRDefault="00AF5692" w:rsidP="002454E8">
            <w:pPr>
              <w:jc w:val="center"/>
              <w:rPr>
                <w:rFonts w:ascii="Century Gothic" w:hAnsi="Century Gothic"/>
                <w:sz w:val="20"/>
                <w:szCs w:val="20"/>
              </w:rPr>
            </w:pPr>
            <w:r w:rsidRPr="00915CAA">
              <w:rPr>
                <w:rFonts w:ascii="Century Gothic" w:hAnsi="Century Gothic"/>
                <w:sz w:val="20"/>
                <w:szCs w:val="20"/>
              </w:rPr>
              <w:t>Nie – 0 pkt.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F83F28">
            <w:pPr>
              <w:snapToGrid w:val="0"/>
              <w:jc w:val="both"/>
              <w:rPr>
                <w:rFonts w:ascii="Century Gothic" w:hAnsi="Century Gothic"/>
                <w:sz w:val="20"/>
                <w:szCs w:val="20"/>
              </w:rPr>
            </w:pPr>
            <w:r w:rsidRPr="00915CAA">
              <w:rPr>
                <w:rFonts w:ascii="Century Gothic" w:hAnsi="Century Gothic"/>
                <w:sz w:val="20"/>
                <w:szCs w:val="20"/>
              </w:rPr>
              <w:t>Możliwość zasilania minimum 2 pomp wspólnym przewodem (bez stosowania stacji dokującej)</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jc w:val="center"/>
              <w:rPr>
                <w:rFonts w:ascii="Century Gothic" w:hAnsi="Century Gothic"/>
                <w:sz w:val="20"/>
                <w:szCs w:val="20"/>
              </w:rPr>
            </w:pPr>
            <w:r w:rsidRPr="00915CAA">
              <w:rPr>
                <w:rFonts w:ascii="Century Gothic" w:hAnsi="Century Gothic"/>
                <w:sz w:val="20"/>
                <w:szCs w:val="20"/>
              </w:rPr>
              <w: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both"/>
              <w:rPr>
                <w:rFonts w:ascii="Century Gothic" w:hAnsi="Century Gothic"/>
                <w:sz w:val="20"/>
                <w:szCs w:val="20"/>
              </w:rPr>
            </w:pPr>
            <w:r w:rsidRPr="00915CAA">
              <w:rPr>
                <w:rFonts w:ascii="Century Gothic" w:hAnsi="Century Gothic"/>
                <w:sz w:val="20"/>
                <w:szCs w:val="20"/>
              </w:rPr>
              <w:t>Ciągły pomiar ciśnienia w linii - okluzji i rozłączenia linii bez konieczności stosowania specjalnych drenów</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jc w:val="center"/>
              <w:rPr>
                <w:rFonts w:ascii="Century Gothic" w:hAnsi="Century Gothic"/>
                <w:sz w:val="20"/>
                <w:szCs w:val="20"/>
              </w:rPr>
            </w:pPr>
            <w:r w:rsidRPr="00915CAA">
              <w:rPr>
                <w:rFonts w:ascii="Century Gothic" w:hAnsi="Century Gothic"/>
                <w:sz w:val="20"/>
                <w:szCs w:val="20"/>
              </w:rPr>
              <w: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both"/>
              <w:rPr>
                <w:rFonts w:ascii="Century Gothic" w:hAnsi="Century Gothic"/>
                <w:sz w:val="20"/>
                <w:szCs w:val="20"/>
              </w:rPr>
            </w:pPr>
            <w:r w:rsidRPr="00915CAA">
              <w:rPr>
                <w:rFonts w:ascii="Century Gothic" w:hAnsi="Century Gothic"/>
                <w:sz w:val="20"/>
                <w:szCs w:val="20"/>
              </w:rPr>
              <w:t>Prezentacja ciągłego pomiaru ciśnienia w linii w formie graficznej</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jc w:val="center"/>
              <w:rPr>
                <w:rFonts w:ascii="Century Gothic" w:hAnsi="Century Gothic"/>
                <w:sz w:val="20"/>
                <w:szCs w:val="20"/>
              </w:rPr>
            </w:pPr>
            <w:r w:rsidRPr="00915CAA">
              <w:rPr>
                <w:rFonts w:ascii="Century Gothic" w:hAnsi="Century Gothic"/>
                <w:sz w:val="20"/>
                <w:szCs w:val="20"/>
              </w:rPr>
              <w: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both"/>
              <w:rPr>
                <w:rFonts w:ascii="Century Gothic" w:hAnsi="Century Gothic"/>
                <w:sz w:val="20"/>
                <w:szCs w:val="20"/>
              </w:rPr>
            </w:pPr>
            <w:r w:rsidRPr="00915CAA">
              <w:rPr>
                <w:rFonts w:ascii="Century Gothic" w:hAnsi="Century Gothic"/>
                <w:sz w:val="20"/>
                <w:szCs w:val="20"/>
              </w:rPr>
              <w:t>Ustawianie poziomu ciśnienia okluzji – min. 8 poziomów</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jc w:val="center"/>
              <w:rPr>
                <w:rFonts w:ascii="Century Gothic" w:hAnsi="Century Gothic"/>
                <w:sz w:val="20"/>
                <w:szCs w:val="20"/>
              </w:rPr>
            </w:pPr>
            <w:r w:rsidRPr="00915CAA">
              <w:rPr>
                <w:rFonts w:ascii="Century Gothic" w:hAnsi="Century Gothic"/>
                <w:sz w:val="20"/>
                <w:szCs w:val="20"/>
              </w:rPr>
              <w: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F5692" w:rsidRPr="00915CAA" w:rsidRDefault="00AF5692" w:rsidP="002454E8">
            <w:pPr>
              <w:snapToGrid w:val="0"/>
              <w:jc w:val="both"/>
              <w:rPr>
                <w:rFonts w:ascii="Century Gothic" w:hAnsi="Century Gothic"/>
                <w:sz w:val="20"/>
                <w:szCs w:val="20"/>
              </w:rPr>
            </w:pPr>
            <w:r w:rsidRPr="00915CAA">
              <w:rPr>
                <w:rFonts w:ascii="Century Gothic" w:hAnsi="Century Gothic"/>
                <w:sz w:val="20"/>
                <w:szCs w:val="20"/>
              </w:rPr>
              <w:t>Funkcja programowania objętości do podania (VTBD) w zakresie min. 0,1- 999 ml</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Default="00AF5692" w:rsidP="002454E8">
            <w:pPr>
              <w:snapToGrid w:val="0"/>
              <w:jc w:val="center"/>
              <w:rPr>
                <w:rFonts w:ascii="Century Gothic" w:hAnsi="Century Gothic"/>
                <w:strike/>
                <w:color w:val="FF0000"/>
                <w:sz w:val="20"/>
                <w:szCs w:val="20"/>
              </w:rPr>
            </w:pPr>
            <w:r w:rsidRPr="00E35059">
              <w:rPr>
                <w:rFonts w:ascii="Century Gothic" w:hAnsi="Century Gothic"/>
                <w:strike/>
                <w:color w:val="FF0000"/>
                <w:sz w:val="20"/>
                <w:szCs w:val="20"/>
              </w:rPr>
              <w:t>Tak, podać</w:t>
            </w:r>
          </w:p>
          <w:p w:rsidR="00E35059" w:rsidRDefault="00E35059" w:rsidP="002454E8">
            <w:pPr>
              <w:snapToGrid w:val="0"/>
              <w:jc w:val="center"/>
              <w:rPr>
                <w:rFonts w:ascii="Century Gothic" w:hAnsi="Century Gothic"/>
                <w:strike/>
                <w:color w:val="FF0000"/>
                <w:sz w:val="20"/>
                <w:szCs w:val="20"/>
              </w:rPr>
            </w:pPr>
          </w:p>
          <w:p w:rsidR="00E35059" w:rsidRPr="00E35059" w:rsidRDefault="00E35059" w:rsidP="002454E8">
            <w:pPr>
              <w:snapToGrid w:val="0"/>
              <w:jc w:val="center"/>
              <w:rPr>
                <w:rFonts w:ascii="Century Gothic" w:hAnsi="Century Gothic"/>
                <w:sz w:val="20"/>
                <w:szCs w:val="20"/>
              </w:rPr>
            </w:pPr>
            <w:r>
              <w:rPr>
                <w:rFonts w:ascii="Century Gothic" w:hAnsi="Century Gothic"/>
                <w:color w:val="FF0000"/>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F5692" w:rsidRDefault="00AF5692" w:rsidP="002454E8">
            <w:pPr>
              <w:pBdr>
                <w:bottom w:val="single" w:sz="6" w:space="1" w:color="auto"/>
              </w:pBdr>
              <w:jc w:val="center"/>
              <w:rPr>
                <w:rFonts w:ascii="Century Gothic" w:hAnsi="Century Gothic"/>
                <w:sz w:val="20"/>
                <w:szCs w:val="20"/>
              </w:rPr>
            </w:pPr>
          </w:p>
          <w:p w:rsidR="00E35059" w:rsidRDefault="00E35059" w:rsidP="002454E8">
            <w:pPr>
              <w:jc w:val="center"/>
              <w:rPr>
                <w:rFonts w:ascii="Century Gothic" w:hAnsi="Century Gothic"/>
                <w:sz w:val="20"/>
                <w:szCs w:val="20"/>
              </w:rPr>
            </w:pPr>
          </w:p>
          <w:p w:rsidR="00E35059" w:rsidRPr="00E35059" w:rsidRDefault="00E35059" w:rsidP="002454E8">
            <w:pPr>
              <w:jc w:val="center"/>
              <w:rPr>
                <w:rFonts w:ascii="Century Gothic" w:hAnsi="Century Gothic"/>
                <w:color w:val="FF0000"/>
                <w:sz w:val="20"/>
                <w:szCs w:val="20"/>
              </w:rPr>
            </w:pPr>
            <w:r>
              <w:rPr>
                <w:rFonts w:ascii="Century Gothic" w:hAnsi="Century Gothic"/>
                <w:color w:val="FF0000"/>
                <w:sz w:val="20"/>
                <w:szCs w:val="20"/>
              </w:rPr>
              <w:t>tak – 1 pkt., nie – 0 pkt.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 xml:space="preserve">Funkcja programowania czasu infuzji </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Default="00E35059" w:rsidP="003F3593">
            <w:pPr>
              <w:snapToGrid w:val="0"/>
              <w:jc w:val="center"/>
              <w:rPr>
                <w:rFonts w:ascii="Century Gothic" w:hAnsi="Century Gothic"/>
                <w:strike/>
                <w:color w:val="FF0000"/>
                <w:sz w:val="20"/>
                <w:szCs w:val="20"/>
              </w:rPr>
            </w:pPr>
            <w:r w:rsidRPr="00E35059">
              <w:rPr>
                <w:rFonts w:ascii="Century Gothic" w:hAnsi="Century Gothic"/>
                <w:strike/>
                <w:color w:val="FF0000"/>
                <w:sz w:val="20"/>
                <w:szCs w:val="20"/>
              </w:rPr>
              <w:t>Tak, podać</w:t>
            </w:r>
          </w:p>
          <w:p w:rsidR="00E35059" w:rsidRDefault="00E35059" w:rsidP="003F3593">
            <w:pPr>
              <w:snapToGrid w:val="0"/>
              <w:jc w:val="center"/>
              <w:rPr>
                <w:rFonts w:ascii="Century Gothic" w:hAnsi="Century Gothic"/>
                <w:strike/>
                <w:color w:val="FF0000"/>
                <w:sz w:val="20"/>
                <w:szCs w:val="20"/>
              </w:rPr>
            </w:pPr>
          </w:p>
          <w:p w:rsidR="00E35059" w:rsidRPr="00E35059" w:rsidRDefault="00E35059" w:rsidP="003F3593">
            <w:pPr>
              <w:snapToGrid w:val="0"/>
              <w:jc w:val="center"/>
              <w:rPr>
                <w:rFonts w:ascii="Century Gothic" w:hAnsi="Century Gothic"/>
                <w:sz w:val="20"/>
                <w:szCs w:val="20"/>
              </w:rPr>
            </w:pPr>
            <w:r>
              <w:rPr>
                <w:rFonts w:ascii="Century Gothic" w:hAnsi="Century Gothic"/>
                <w:color w:val="FF0000"/>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3F3593">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Default="00E35059" w:rsidP="003F3593">
            <w:pPr>
              <w:pBdr>
                <w:bottom w:val="single" w:sz="6" w:space="1" w:color="auto"/>
              </w:pBdr>
              <w:jc w:val="center"/>
              <w:rPr>
                <w:rFonts w:ascii="Century Gothic" w:hAnsi="Century Gothic"/>
                <w:sz w:val="20"/>
                <w:szCs w:val="20"/>
              </w:rPr>
            </w:pPr>
          </w:p>
          <w:p w:rsidR="00E35059" w:rsidRDefault="00E35059" w:rsidP="003F3593">
            <w:pPr>
              <w:jc w:val="center"/>
              <w:rPr>
                <w:rFonts w:ascii="Century Gothic" w:hAnsi="Century Gothic"/>
                <w:sz w:val="20"/>
                <w:szCs w:val="20"/>
              </w:rPr>
            </w:pPr>
          </w:p>
          <w:p w:rsidR="00E35059" w:rsidRPr="00E35059" w:rsidRDefault="00E35059" w:rsidP="003F3593">
            <w:pPr>
              <w:jc w:val="center"/>
              <w:rPr>
                <w:rFonts w:ascii="Century Gothic" w:hAnsi="Century Gothic"/>
                <w:color w:val="FF0000"/>
                <w:sz w:val="20"/>
                <w:szCs w:val="20"/>
              </w:rPr>
            </w:pPr>
            <w:r>
              <w:rPr>
                <w:rFonts w:ascii="Century Gothic" w:hAnsi="Century Gothic"/>
                <w:color w:val="FF0000"/>
                <w:sz w:val="20"/>
                <w:szCs w:val="20"/>
              </w:rPr>
              <w:t>tak – 1 pkt., nie – 0 pkt.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Bolus podawany na żądanie bez konieczności wstrzymywania trwającej infuzji</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915CAA" w:rsidRDefault="00E35059" w:rsidP="00A6056C">
            <w:pPr>
              <w:snapToGrid w:val="0"/>
              <w:jc w:val="both"/>
              <w:rPr>
                <w:rFonts w:ascii="Century Gothic" w:hAnsi="Century Gothic"/>
                <w:sz w:val="20"/>
                <w:szCs w:val="20"/>
              </w:rPr>
            </w:pPr>
            <w:r w:rsidRPr="00915CAA">
              <w:rPr>
                <w:rFonts w:ascii="Century Gothic" w:hAnsi="Century Gothic"/>
                <w:sz w:val="20"/>
                <w:szCs w:val="20"/>
              </w:rPr>
              <w:t>Minimum dwa rodzaje bolusa:</w:t>
            </w:r>
          </w:p>
          <w:p w:rsidR="00E35059" w:rsidRPr="00915CAA" w:rsidRDefault="00E35059" w:rsidP="00A6056C">
            <w:pPr>
              <w:snapToGrid w:val="0"/>
              <w:jc w:val="both"/>
              <w:rPr>
                <w:rFonts w:ascii="Century Gothic" w:hAnsi="Century Gothic"/>
                <w:sz w:val="20"/>
                <w:szCs w:val="20"/>
              </w:rPr>
            </w:pPr>
            <w:r w:rsidRPr="00915CAA">
              <w:rPr>
                <w:rFonts w:ascii="Century Gothic" w:hAnsi="Century Gothic"/>
                <w:sz w:val="20"/>
                <w:szCs w:val="20"/>
              </w:rPr>
              <w:t>- ręczny</w:t>
            </w:r>
          </w:p>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 programowany – ustawienie objętości do podania lub objętości do podania i czasu</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Funkcja bolusa tzw. Emergency – manualne przesunięcie tłoka strzykawki z funkcją zliczania podanej objętości i prezentacją wartości na wyświetlaczu urządzenia lub dedykowany przycisk na klawiaturze pompy</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snapToGrid w:val="0"/>
              <w:jc w:val="both"/>
              <w:rPr>
                <w:rFonts w:ascii="Century Gothic" w:hAnsi="Century Gothic"/>
                <w:sz w:val="20"/>
                <w:szCs w:val="20"/>
                <w:lang w:val="en-US"/>
              </w:rPr>
            </w:pPr>
            <w:r w:rsidRPr="00915CAA">
              <w:rPr>
                <w:rFonts w:ascii="Century Gothic" w:hAnsi="Century Gothic"/>
                <w:sz w:val="20"/>
                <w:szCs w:val="20"/>
                <w:lang w:val="en-US"/>
              </w:rPr>
              <w:t>Funkcja KVO (Keep Vein Open)</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C756F9">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Tryb infuzji umożliwiający zdefiniowanie serii przedziałów (min. 6) o określonych parametrach (prędkość, czas , objętość) dla każdego cyklu. Pompa przeprowadza po kolei terapię właściwą dla każdego z zaprogramowanych przedziałów.</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Default="00E35059" w:rsidP="003F3593">
            <w:pPr>
              <w:snapToGrid w:val="0"/>
              <w:jc w:val="center"/>
              <w:rPr>
                <w:rFonts w:ascii="Century Gothic" w:hAnsi="Century Gothic"/>
                <w:strike/>
                <w:color w:val="FF0000"/>
                <w:sz w:val="20"/>
                <w:szCs w:val="20"/>
              </w:rPr>
            </w:pPr>
            <w:r w:rsidRPr="007C74C8">
              <w:rPr>
                <w:rFonts w:ascii="Century Gothic" w:hAnsi="Century Gothic"/>
                <w:strike/>
                <w:color w:val="FF0000"/>
                <w:sz w:val="20"/>
                <w:szCs w:val="20"/>
              </w:rPr>
              <w:t>Tak</w:t>
            </w:r>
          </w:p>
          <w:p w:rsidR="00E35059" w:rsidRDefault="00E35059" w:rsidP="003F3593">
            <w:pPr>
              <w:snapToGrid w:val="0"/>
              <w:jc w:val="center"/>
              <w:rPr>
                <w:rFonts w:ascii="Century Gothic" w:hAnsi="Century Gothic"/>
                <w:strike/>
                <w:color w:val="FF0000"/>
                <w:sz w:val="20"/>
                <w:szCs w:val="20"/>
              </w:rPr>
            </w:pPr>
          </w:p>
          <w:p w:rsidR="00E35059" w:rsidRPr="007C74C8" w:rsidRDefault="00E35059" w:rsidP="003F3593">
            <w:pPr>
              <w:snapToGrid w:val="0"/>
              <w:jc w:val="center"/>
              <w:rPr>
                <w:rFonts w:ascii="Century Gothic" w:hAnsi="Century Gothic"/>
                <w:sz w:val="20"/>
                <w:szCs w:val="20"/>
              </w:rPr>
            </w:pPr>
            <w:r w:rsidRPr="007C74C8">
              <w:rPr>
                <w:rFonts w:ascii="Century Gothic" w:hAnsi="Century Gothic"/>
                <w:color w:val="FF0000"/>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3F3593">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Default="00E35059" w:rsidP="003F3593">
            <w:pPr>
              <w:pBdr>
                <w:bottom w:val="single" w:sz="6" w:space="1" w:color="auto"/>
              </w:pBdr>
              <w:jc w:val="center"/>
              <w:rPr>
                <w:rFonts w:ascii="Century Gothic" w:hAnsi="Century Gothic"/>
                <w:sz w:val="20"/>
                <w:szCs w:val="20"/>
              </w:rPr>
            </w:pPr>
          </w:p>
          <w:p w:rsidR="00E35059" w:rsidRDefault="00E35059" w:rsidP="003F3593">
            <w:pPr>
              <w:jc w:val="center"/>
              <w:rPr>
                <w:rFonts w:ascii="Century Gothic" w:hAnsi="Century Gothic"/>
                <w:sz w:val="20"/>
                <w:szCs w:val="20"/>
              </w:rPr>
            </w:pPr>
          </w:p>
          <w:p w:rsidR="00E35059" w:rsidRPr="00915CAA" w:rsidRDefault="00E35059" w:rsidP="007C74C8">
            <w:pPr>
              <w:jc w:val="center"/>
              <w:rPr>
                <w:rFonts w:ascii="Century Gothic" w:hAnsi="Century Gothic"/>
                <w:sz w:val="20"/>
                <w:szCs w:val="20"/>
              </w:rPr>
            </w:pPr>
            <w:r w:rsidRPr="007C74C8">
              <w:rPr>
                <w:rFonts w:ascii="Century Gothic" w:hAnsi="Century Gothic"/>
                <w:color w:val="FF0000"/>
                <w:sz w:val="20"/>
                <w:szCs w:val="20"/>
              </w:rPr>
              <w:t xml:space="preserve">tak – </w:t>
            </w:r>
            <w:r>
              <w:rPr>
                <w:rFonts w:ascii="Century Gothic" w:hAnsi="Century Gothic"/>
                <w:color w:val="FF0000"/>
                <w:sz w:val="20"/>
                <w:szCs w:val="20"/>
              </w:rPr>
              <w:t>1</w:t>
            </w:r>
            <w:r w:rsidRPr="007C74C8">
              <w:rPr>
                <w:rFonts w:ascii="Century Gothic" w:hAnsi="Century Gothic"/>
                <w:color w:val="FF0000"/>
                <w:sz w:val="20"/>
                <w:szCs w:val="20"/>
              </w:rPr>
              <w:t xml:space="preserve"> pkt., nie – 0 pkt.</w:t>
            </w:r>
          </w:p>
        </w:tc>
      </w:tr>
      <w:tr w:rsidR="00E35059" w:rsidRPr="00915CAA" w:rsidTr="00010BEA">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Tryb infuzji „wzrost i spadek” (ang. Ramp and Taper) służący do przeprowadzenia infuzji przy stopniowym wzroście i spadku prędkości</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Default="00E35059" w:rsidP="003F3593">
            <w:pPr>
              <w:snapToGrid w:val="0"/>
              <w:jc w:val="center"/>
              <w:rPr>
                <w:rFonts w:ascii="Century Gothic" w:hAnsi="Century Gothic"/>
                <w:strike/>
                <w:color w:val="FF0000"/>
                <w:sz w:val="20"/>
                <w:szCs w:val="20"/>
              </w:rPr>
            </w:pPr>
            <w:r w:rsidRPr="007C74C8">
              <w:rPr>
                <w:rFonts w:ascii="Century Gothic" w:hAnsi="Century Gothic"/>
                <w:strike/>
                <w:color w:val="FF0000"/>
                <w:sz w:val="20"/>
                <w:szCs w:val="20"/>
              </w:rPr>
              <w:t>Tak</w:t>
            </w:r>
          </w:p>
          <w:p w:rsidR="00E35059" w:rsidRDefault="00E35059" w:rsidP="003F3593">
            <w:pPr>
              <w:snapToGrid w:val="0"/>
              <w:jc w:val="center"/>
              <w:rPr>
                <w:rFonts w:ascii="Century Gothic" w:hAnsi="Century Gothic"/>
                <w:strike/>
                <w:color w:val="FF0000"/>
                <w:sz w:val="20"/>
                <w:szCs w:val="20"/>
              </w:rPr>
            </w:pPr>
          </w:p>
          <w:p w:rsidR="00E35059" w:rsidRPr="007C74C8" w:rsidRDefault="00E35059" w:rsidP="003F3593">
            <w:pPr>
              <w:snapToGrid w:val="0"/>
              <w:jc w:val="center"/>
              <w:rPr>
                <w:rFonts w:ascii="Century Gothic" w:hAnsi="Century Gothic"/>
                <w:sz w:val="20"/>
                <w:szCs w:val="20"/>
              </w:rPr>
            </w:pPr>
            <w:r w:rsidRPr="007C74C8">
              <w:rPr>
                <w:rFonts w:ascii="Century Gothic" w:hAnsi="Century Gothic"/>
                <w:color w:val="FF0000"/>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3F3593">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Default="00E35059" w:rsidP="003F3593">
            <w:pPr>
              <w:pBdr>
                <w:bottom w:val="single" w:sz="6" w:space="1" w:color="auto"/>
              </w:pBdr>
              <w:jc w:val="center"/>
              <w:rPr>
                <w:rFonts w:ascii="Century Gothic" w:hAnsi="Century Gothic"/>
                <w:sz w:val="20"/>
                <w:szCs w:val="20"/>
              </w:rPr>
            </w:pPr>
          </w:p>
          <w:p w:rsidR="00E35059" w:rsidRDefault="00E35059" w:rsidP="003F3593">
            <w:pPr>
              <w:jc w:val="center"/>
              <w:rPr>
                <w:rFonts w:ascii="Century Gothic" w:hAnsi="Century Gothic"/>
                <w:sz w:val="20"/>
                <w:szCs w:val="20"/>
              </w:rPr>
            </w:pPr>
          </w:p>
          <w:p w:rsidR="00E35059" w:rsidRPr="00915CAA" w:rsidRDefault="00E35059" w:rsidP="00F574BF">
            <w:pPr>
              <w:jc w:val="center"/>
              <w:rPr>
                <w:rFonts w:ascii="Century Gothic" w:hAnsi="Century Gothic"/>
                <w:sz w:val="20"/>
                <w:szCs w:val="20"/>
              </w:rPr>
            </w:pPr>
            <w:r w:rsidRPr="007C74C8">
              <w:rPr>
                <w:rFonts w:ascii="Century Gothic" w:hAnsi="Century Gothic"/>
                <w:color w:val="FF0000"/>
                <w:sz w:val="20"/>
                <w:szCs w:val="20"/>
              </w:rPr>
              <w:t xml:space="preserve">tak – </w:t>
            </w:r>
            <w:r>
              <w:rPr>
                <w:rFonts w:ascii="Century Gothic" w:hAnsi="Century Gothic"/>
                <w:color w:val="FF0000"/>
                <w:sz w:val="20"/>
                <w:szCs w:val="20"/>
              </w:rPr>
              <w:t>1</w:t>
            </w:r>
            <w:r w:rsidRPr="007C74C8">
              <w:rPr>
                <w:rFonts w:ascii="Century Gothic" w:hAnsi="Century Gothic"/>
                <w:color w:val="FF0000"/>
                <w:sz w:val="20"/>
                <w:szCs w:val="20"/>
              </w:rPr>
              <w:t xml:space="preserve"> pkt., nie – 0 pkt.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D942E1">
            <w:pPr>
              <w:snapToGrid w:val="0"/>
              <w:jc w:val="both"/>
              <w:rPr>
                <w:rFonts w:ascii="Century Gothic" w:hAnsi="Century Gothic"/>
                <w:sz w:val="20"/>
                <w:szCs w:val="20"/>
              </w:rPr>
            </w:pPr>
            <w:r w:rsidRPr="00915CAA">
              <w:rPr>
                <w:rFonts w:ascii="Century Gothic" w:hAnsi="Century Gothic"/>
                <w:sz w:val="20"/>
                <w:szCs w:val="20"/>
              </w:rPr>
              <w:t>Możliwość transmisji danych z pompy, możliwość połączenia w sieć z komputerem centralnym samodzielnie lub przez stację dokującą</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D942E1">
            <w:pPr>
              <w:snapToGrid w:val="0"/>
              <w:jc w:val="both"/>
              <w:rPr>
                <w:rFonts w:ascii="Century Gothic" w:hAnsi="Century Gothic"/>
                <w:sz w:val="20"/>
                <w:szCs w:val="20"/>
              </w:rPr>
            </w:pPr>
            <w:r w:rsidRPr="00915CAA">
              <w:rPr>
                <w:rFonts w:ascii="Century Gothic" w:hAnsi="Century Gothic"/>
                <w:sz w:val="20"/>
                <w:szCs w:val="20"/>
              </w:rPr>
              <w:t xml:space="preserve">Komunikacja pomp umieszczonych w stacji dokującej z komputerem poprzez Ethernet - złącze RJ45. </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Opcjonalna możliwość bezprzewodowej komunikacji pomp poza stacją dokującą z komputerem.</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A6056C">
            <w:pPr>
              <w:jc w:val="center"/>
              <w:rPr>
                <w:rFonts w:ascii="Century Gothic" w:hAnsi="Century Gothic"/>
                <w:sz w:val="20"/>
                <w:szCs w:val="20"/>
              </w:rPr>
            </w:pPr>
            <w:r w:rsidRPr="00915CAA">
              <w:rPr>
                <w:rFonts w:ascii="Century Gothic" w:hAnsi="Century Gothic"/>
                <w:sz w:val="20"/>
                <w:szCs w:val="20"/>
              </w:rPr>
              <w:t>Tak – 0,5 pkt.</w:t>
            </w:r>
          </w:p>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Nie – 0 pkt.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Rejestr na min. 1500 zdarzeń zapisywany w czasie rzeczywistym</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Klawiatura symboliczna lub/i numeryczna</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Akustyczno-optyczny system alarmów i ostrzeżeń</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E35059" w:rsidRDefault="00E35059" w:rsidP="002454E8">
            <w:pPr>
              <w:snapToGrid w:val="0"/>
              <w:jc w:val="both"/>
              <w:rPr>
                <w:rFonts w:ascii="Century Gothic" w:hAnsi="Century Gothic"/>
                <w:sz w:val="20"/>
                <w:szCs w:val="20"/>
              </w:rPr>
            </w:pPr>
            <w:r w:rsidRPr="00E35059">
              <w:rPr>
                <w:rFonts w:ascii="Century Gothic" w:hAnsi="Century Gothic"/>
                <w:sz w:val="20"/>
                <w:szCs w:val="20"/>
              </w:rPr>
              <w:t xml:space="preserve">Alarm pustej strzykawki </w:t>
            </w:r>
            <w:r w:rsidRPr="00E35059">
              <w:rPr>
                <w:rFonts w:ascii="Century Gothic" w:hAnsi="Century Gothic"/>
                <w:color w:val="FF0000"/>
                <w:sz w:val="20"/>
                <w:szCs w:val="20"/>
              </w:rPr>
              <w:t xml:space="preserve">lub pompa </w:t>
            </w:r>
            <w:r w:rsidRPr="00E35059">
              <w:rPr>
                <w:rFonts w:ascii="Century Gothic" w:hAnsi="Century Gothic"/>
                <w:color w:val="FF0000"/>
                <w:sz w:val="20"/>
                <w:szCs w:val="20"/>
                <w:lang w:eastAsia="pl-PL"/>
              </w:rPr>
              <w:t>która w sytuacji kiedy opróżnia się strzykawka i następuje koniec infuzji emituje dwustopniowy, wizualno-dźwiękowy alarm wysokiego priorytetu-alarm końca infuzji</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Alarm przypominający –zatrzymana infuzja</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Alarm okluzji</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Alarm rozładowanego akumulatora</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Alarm wstępny zbliżającego się rozładowania akumulatora</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Alarm wstępny przed opróżnieniem strzykawki.</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Alarm wstępny przed końcem infuzji.</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Alarm otwartego uchwytu komory strzykawki</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Możliwość prowadzenia znieczulenia zewnątrzoponowego</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A6056C">
            <w:pPr>
              <w:jc w:val="center"/>
              <w:rPr>
                <w:rFonts w:ascii="Century Gothic" w:hAnsi="Century Gothic"/>
                <w:sz w:val="20"/>
                <w:szCs w:val="20"/>
              </w:rPr>
            </w:pPr>
            <w:r w:rsidRPr="00915CAA">
              <w:rPr>
                <w:rFonts w:ascii="Century Gothic" w:hAnsi="Century Gothic"/>
                <w:sz w:val="20"/>
                <w:szCs w:val="20"/>
              </w:rPr>
              <w:t>Tak – 2 pkt.</w:t>
            </w:r>
          </w:p>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Nie – 0 pkt.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 xml:space="preserve">W każdej pompie tryb TCI  </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Programowanie stężenia w osoczu oraz miejscu działania</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A6056C">
            <w:pPr>
              <w:snapToGrid w:val="0"/>
              <w:jc w:val="both"/>
              <w:rPr>
                <w:rFonts w:ascii="Century Gothic" w:hAnsi="Century Gothic"/>
                <w:sz w:val="20"/>
                <w:szCs w:val="20"/>
              </w:rPr>
            </w:pPr>
            <w:r w:rsidRPr="00915CAA">
              <w:rPr>
                <w:rFonts w:ascii="Century Gothic" w:hAnsi="Century Gothic"/>
                <w:sz w:val="20"/>
                <w:szCs w:val="20"/>
              </w:rPr>
              <w:t>Protokół podawania Propofolu,</w:t>
            </w:r>
          </w:p>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model farmakokinetyczny Marsch oraz Schnider (do wyboru)</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A6056C">
            <w:pPr>
              <w:snapToGrid w:val="0"/>
              <w:jc w:val="both"/>
              <w:rPr>
                <w:rFonts w:ascii="Century Gothic" w:hAnsi="Century Gothic"/>
                <w:sz w:val="20"/>
                <w:szCs w:val="20"/>
              </w:rPr>
            </w:pPr>
            <w:r w:rsidRPr="00915CAA">
              <w:rPr>
                <w:rFonts w:ascii="Century Gothic" w:hAnsi="Century Gothic"/>
                <w:sz w:val="20"/>
                <w:szCs w:val="20"/>
              </w:rPr>
              <w:t>Protokół podawania Remifentanylu,</w:t>
            </w:r>
          </w:p>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model farmakokinetyczny Minto</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A6056C">
            <w:pPr>
              <w:snapToGrid w:val="0"/>
              <w:jc w:val="both"/>
              <w:rPr>
                <w:rFonts w:ascii="Century Gothic" w:hAnsi="Century Gothic"/>
                <w:sz w:val="20"/>
                <w:szCs w:val="20"/>
              </w:rPr>
            </w:pPr>
            <w:r w:rsidRPr="00915CAA">
              <w:rPr>
                <w:rFonts w:ascii="Century Gothic" w:hAnsi="Century Gothic"/>
                <w:sz w:val="20"/>
                <w:szCs w:val="20"/>
              </w:rPr>
              <w:t>Protokół podawania Sufentanylu,</w:t>
            </w:r>
          </w:p>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model farmakokinetyczny Gepts</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A6056C">
            <w:pPr>
              <w:snapToGrid w:val="0"/>
              <w:jc w:val="center"/>
              <w:rPr>
                <w:rFonts w:ascii="Century Gothic" w:hAnsi="Century Gothic"/>
                <w:sz w:val="20"/>
                <w:szCs w:val="20"/>
              </w:rPr>
            </w:pPr>
            <w:r w:rsidRPr="00915CAA">
              <w:rPr>
                <w:rFonts w:ascii="Century Gothic" w:hAnsi="Century Gothic"/>
                <w:sz w:val="20"/>
                <w:szCs w:val="20"/>
              </w:rPr>
              <w:t>Tak – 0,5  pkt.</w:t>
            </w:r>
          </w:p>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Nie – 0 pkt.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F574BF">
            <w:pPr>
              <w:snapToGrid w:val="0"/>
              <w:jc w:val="both"/>
              <w:rPr>
                <w:rFonts w:ascii="Century Gothic" w:hAnsi="Century Gothic"/>
                <w:sz w:val="20"/>
                <w:szCs w:val="20"/>
              </w:rPr>
            </w:pPr>
            <w:r w:rsidRPr="00915CAA">
              <w:rPr>
                <w:rFonts w:ascii="Century Gothic" w:hAnsi="Century Gothic"/>
                <w:sz w:val="20"/>
                <w:szCs w:val="20"/>
              </w:rPr>
              <w:t>Protokół podawania Alfentanylu,</w:t>
            </w:r>
            <w:r>
              <w:rPr>
                <w:rFonts w:ascii="Century Gothic" w:hAnsi="Century Gothic"/>
                <w:sz w:val="20"/>
                <w:szCs w:val="20"/>
              </w:rPr>
              <w:t xml:space="preserve"> </w:t>
            </w:r>
            <w:r w:rsidRPr="00915CAA">
              <w:rPr>
                <w:rFonts w:ascii="Century Gothic" w:hAnsi="Century Gothic"/>
                <w:sz w:val="20"/>
                <w:szCs w:val="20"/>
              </w:rPr>
              <w:t>model farmakokinetyczny Maitre</w:t>
            </w:r>
            <w:r>
              <w:rPr>
                <w:rFonts w:ascii="Century Gothic" w:hAnsi="Century Gothic"/>
                <w:sz w:val="20"/>
                <w:szCs w:val="20"/>
              </w:rPr>
              <w:t xml:space="preserve"> </w:t>
            </w:r>
            <w:r w:rsidRPr="00F574BF">
              <w:rPr>
                <w:rFonts w:ascii="Century Gothic" w:hAnsi="Century Gothic"/>
                <w:color w:val="FF0000"/>
                <w:sz w:val="20"/>
                <w:szCs w:val="20"/>
              </w:rPr>
              <w:t xml:space="preserve">lub </w:t>
            </w:r>
            <w:r>
              <w:rPr>
                <w:rFonts w:ascii="Century Gothic" w:hAnsi="Century Gothic"/>
                <w:color w:val="FF0000"/>
                <w:sz w:val="20"/>
                <w:szCs w:val="20"/>
              </w:rPr>
              <w:t>p</w:t>
            </w:r>
            <w:r w:rsidRPr="00F574BF">
              <w:rPr>
                <w:rFonts w:ascii="Century Gothic" w:hAnsi="Century Gothic"/>
                <w:color w:val="FF0000"/>
                <w:sz w:val="20"/>
                <w:szCs w:val="20"/>
                <w:lang w:eastAsia="pl-PL"/>
              </w:rPr>
              <w:t>rotokół podawania Alfentanylu,</w:t>
            </w:r>
            <w:r>
              <w:rPr>
                <w:rFonts w:ascii="Century Gothic" w:hAnsi="Century Gothic"/>
                <w:color w:val="FF0000"/>
                <w:sz w:val="20"/>
                <w:szCs w:val="20"/>
                <w:lang w:eastAsia="pl-PL"/>
              </w:rPr>
              <w:t xml:space="preserve"> </w:t>
            </w:r>
            <w:r w:rsidRPr="00F574BF">
              <w:rPr>
                <w:rFonts w:ascii="Century Gothic" w:hAnsi="Century Gothic"/>
                <w:color w:val="FF0000"/>
                <w:sz w:val="20"/>
                <w:szCs w:val="20"/>
                <w:lang w:eastAsia="pl-PL"/>
              </w:rPr>
              <w:t>model farmakokinetyczny Minto, Gepts i Scott</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A6056C">
            <w:pPr>
              <w:snapToGrid w:val="0"/>
              <w:jc w:val="center"/>
              <w:rPr>
                <w:rFonts w:ascii="Century Gothic" w:hAnsi="Century Gothic"/>
                <w:sz w:val="20"/>
                <w:szCs w:val="20"/>
              </w:rPr>
            </w:pPr>
            <w:r w:rsidRPr="00915CAA">
              <w:rPr>
                <w:rFonts w:ascii="Century Gothic" w:hAnsi="Century Gothic"/>
                <w:sz w:val="20"/>
                <w:szCs w:val="20"/>
              </w:rPr>
              <w:t>Tak – 0,5  pkt.</w:t>
            </w:r>
          </w:p>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Nie – 0 pkt.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Podgląd trybu TCI graficzny oraz cyfrowy</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Praca w trybie TCI dla dzieci od 5 kg</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A6056C">
            <w:pPr>
              <w:snapToGrid w:val="0"/>
              <w:jc w:val="center"/>
              <w:rPr>
                <w:rFonts w:ascii="Century Gothic" w:hAnsi="Century Gothic"/>
                <w:sz w:val="20"/>
                <w:szCs w:val="20"/>
              </w:rPr>
            </w:pPr>
            <w:r w:rsidRPr="00915CAA">
              <w:rPr>
                <w:rFonts w:ascii="Century Gothic" w:hAnsi="Century Gothic"/>
                <w:sz w:val="20"/>
                <w:szCs w:val="20"/>
              </w:rPr>
              <w:t>Tak – 0,5  pkt.</w:t>
            </w:r>
          </w:p>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Nie – 0 pkt.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A6056C">
            <w:pPr>
              <w:snapToGrid w:val="0"/>
              <w:jc w:val="both"/>
              <w:rPr>
                <w:rFonts w:ascii="Century Gothic" w:hAnsi="Century Gothic"/>
                <w:sz w:val="20"/>
                <w:szCs w:val="20"/>
              </w:rPr>
            </w:pPr>
            <w:r w:rsidRPr="00915CAA">
              <w:rPr>
                <w:rFonts w:ascii="Century Gothic" w:hAnsi="Century Gothic"/>
                <w:sz w:val="20"/>
                <w:szCs w:val="20"/>
              </w:rPr>
              <w:t>Protokół podawania Propofolu dla dzieci</w:t>
            </w:r>
          </w:p>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 xml:space="preserve">model farmakokinetyczny Kataria i Paedfusor </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A6056C">
            <w:pPr>
              <w:snapToGrid w:val="0"/>
              <w:jc w:val="center"/>
              <w:rPr>
                <w:rFonts w:ascii="Century Gothic" w:hAnsi="Century Gothic"/>
                <w:sz w:val="20"/>
                <w:szCs w:val="20"/>
              </w:rPr>
            </w:pPr>
            <w:r w:rsidRPr="00915CAA">
              <w:rPr>
                <w:rFonts w:ascii="Century Gothic" w:hAnsi="Century Gothic"/>
                <w:sz w:val="20"/>
                <w:szCs w:val="20"/>
              </w:rPr>
              <w:t>Tak – 0,5 pkt.</w:t>
            </w:r>
          </w:p>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Nie – 0 pkt.</w:t>
            </w:r>
          </w:p>
        </w:tc>
      </w:tr>
    </w:tbl>
    <w:p w:rsidR="003C5957" w:rsidRPr="00FF4BF5" w:rsidRDefault="003C5957" w:rsidP="00E65C60">
      <w:pPr>
        <w:spacing w:line="288" w:lineRule="auto"/>
        <w:jc w:val="both"/>
        <w:rPr>
          <w:rFonts w:ascii="Century Gothic" w:hAnsi="Century Gothic"/>
          <w:b/>
          <w:sz w:val="20"/>
          <w:szCs w:val="20"/>
        </w:rPr>
      </w:pPr>
    </w:p>
    <w:p w:rsidR="00E65C60" w:rsidRPr="00FF4BF5" w:rsidRDefault="009B0AF9" w:rsidP="00E65C60">
      <w:pPr>
        <w:spacing w:line="288" w:lineRule="auto"/>
        <w:jc w:val="both"/>
        <w:rPr>
          <w:rFonts w:ascii="Century Gothic" w:hAnsi="Century Gothic"/>
          <w:b/>
        </w:rPr>
      </w:pPr>
      <w:r w:rsidRPr="00FF4BF5">
        <w:rPr>
          <w:rFonts w:ascii="Century Gothic" w:hAnsi="Century Gothic"/>
          <w:b/>
          <w:sz w:val="20"/>
          <w:szCs w:val="20"/>
        </w:rPr>
        <w:t>WARUNKI GWARANCJI, SERWISU I SZKOLENIA</w:t>
      </w:r>
    </w:p>
    <w:tbl>
      <w:tblPr>
        <w:tblW w:w="145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5387"/>
        <w:gridCol w:w="1559"/>
        <w:gridCol w:w="4534"/>
        <w:gridCol w:w="2410"/>
      </w:tblGrid>
      <w:tr w:rsidR="00CC11F7" w:rsidRPr="009B0AF9" w:rsidTr="009B0AF9">
        <w:tc>
          <w:tcPr>
            <w:tcW w:w="675"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9B0AF9" w:rsidP="00D2374F">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B0AF9">
              <w:rPr>
                <w:rFonts w:ascii="Century Gothic" w:hAnsi="Century Gothic"/>
                <w:b/>
                <w:bCs/>
                <w:sz w:val="20"/>
                <w:szCs w:val="20"/>
              </w:rPr>
              <w:t>LP</w:t>
            </w: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9B0AF9" w:rsidP="00D2374F">
            <w:pPr>
              <w:pStyle w:val="Nagwek3"/>
              <w:snapToGrid w:val="0"/>
              <w:spacing w:line="276" w:lineRule="auto"/>
              <w:ind w:left="0" w:firstLine="0"/>
              <w:jc w:val="center"/>
              <w:rPr>
                <w:rFonts w:ascii="Century Gothic" w:hAnsi="Century Gothic"/>
                <w:sz w:val="20"/>
                <w:szCs w:val="20"/>
                <w:lang w:eastAsia="en-US"/>
              </w:rPr>
            </w:pPr>
            <w:r w:rsidRPr="009B0AF9">
              <w:rPr>
                <w:rFonts w:ascii="Century Gothic" w:hAnsi="Century Gothic"/>
                <w:sz w:val="20"/>
                <w:szCs w:val="20"/>
                <w:lang w:eastAsia="en-US"/>
              </w:rPr>
              <w:t>PARAMETR</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9B0AF9" w:rsidP="00D2374F">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B0AF9">
              <w:rPr>
                <w:rFonts w:ascii="Century Gothic" w:hAnsi="Century Gothic"/>
                <w:b/>
                <w:bCs/>
                <w:sz w:val="20"/>
                <w:szCs w:val="20"/>
              </w:rPr>
              <w:t>PARAMETR WYMAGANY</w:t>
            </w:r>
          </w:p>
        </w:tc>
        <w:tc>
          <w:tcPr>
            <w:tcW w:w="4534"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9B0AF9" w:rsidP="00D2374F">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B0AF9">
              <w:rPr>
                <w:rFonts w:ascii="Century Gothic" w:hAnsi="Century Gothic"/>
                <w:b/>
                <w:bCs/>
                <w:sz w:val="20"/>
                <w:szCs w:val="20"/>
              </w:rPr>
              <w:t>PARAMETR OFEROWANY</w:t>
            </w: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9B0AF9" w:rsidP="00D2374F">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B0AF9">
              <w:rPr>
                <w:rFonts w:ascii="Century Gothic" w:hAnsi="Century Gothic"/>
                <w:b/>
                <w:bCs/>
                <w:sz w:val="20"/>
                <w:szCs w:val="20"/>
              </w:rPr>
              <w:t>SPOSÓB OCENY</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tabs>
                <w:tab w:val="left" w:pos="0"/>
              </w:tabs>
              <w:snapToGrid w:val="0"/>
              <w:jc w:val="both"/>
              <w:rPr>
                <w:rFonts w:ascii="Century Gothic" w:eastAsia="Calibri" w:hAnsi="Century Gothic" w:cs="Calibri"/>
                <w:b/>
                <w:bCs/>
                <w:sz w:val="20"/>
                <w:szCs w:val="20"/>
              </w:rPr>
            </w:pPr>
            <w:r w:rsidRPr="009B0AF9">
              <w:rPr>
                <w:rFonts w:ascii="Century Gothic" w:hAnsi="Century Gothic"/>
                <w:b/>
                <w:bCs/>
                <w:sz w:val="20"/>
                <w:szCs w:val="20"/>
              </w:rPr>
              <w:t>GWARANCJE</w:t>
            </w:r>
          </w:p>
        </w:tc>
        <w:tc>
          <w:tcPr>
            <w:tcW w:w="1559"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p>
        </w:tc>
        <w:tc>
          <w:tcPr>
            <w:tcW w:w="4534"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b/>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pStyle w:val="AbsatzTableFormat"/>
              <w:snapToGrid w:val="0"/>
              <w:spacing w:before="100" w:beforeAutospacing="1" w:after="100" w:afterAutospacing="1" w:line="288" w:lineRule="auto"/>
              <w:rPr>
                <w:rFonts w:ascii="Century Gothic" w:hAnsi="Century Gothic"/>
                <w:sz w:val="20"/>
                <w:szCs w:val="20"/>
                <w:lang w:eastAsia="en-US"/>
              </w:rPr>
            </w:pP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snapToGrid w:val="0"/>
              <w:jc w:val="both"/>
              <w:rPr>
                <w:rFonts w:ascii="Century Gothic" w:eastAsia="Calibri" w:hAnsi="Century Gothic" w:cs="Calibri"/>
                <w:sz w:val="20"/>
                <w:szCs w:val="20"/>
              </w:rPr>
            </w:pPr>
            <w:r w:rsidRPr="009B0AF9">
              <w:rPr>
                <w:rFonts w:ascii="Century Gothic" w:hAnsi="Century Gothic"/>
                <w:sz w:val="20"/>
                <w:szCs w:val="20"/>
              </w:rPr>
              <w:t>Okres pełnej, bez wyłączeń gwarancji dla wszystkich zaoferowanych elementów wraz z urządzeniami peryferyjnymi (jeśli dotyczy)[liczba miesięcy]</w:t>
            </w:r>
          </w:p>
          <w:p w:rsidR="00E65C60" w:rsidRPr="009B0AF9" w:rsidRDefault="00E65C60" w:rsidP="00D2374F">
            <w:pPr>
              <w:snapToGrid w:val="0"/>
              <w:jc w:val="both"/>
              <w:rPr>
                <w:rFonts w:ascii="Century Gothic" w:hAnsi="Century Gothic"/>
                <w:sz w:val="20"/>
                <w:szCs w:val="20"/>
              </w:rPr>
            </w:pPr>
          </w:p>
          <w:p w:rsidR="00E65C60" w:rsidRPr="009B0AF9" w:rsidRDefault="00E65C60" w:rsidP="00D2374F">
            <w:pPr>
              <w:widowControl w:val="0"/>
              <w:jc w:val="both"/>
              <w:rPr>
                <w:rFonts w:ascii="Century Gothic" w:eastAsia="Calibri" w:hAnsi="Century Gothic" w:cs="Calibri"/>
                <w:i/>
                <w:iCs/>
                <w:sz w:val="20"/>
                <w:szCs w:val="20"/>
              </w:rPr>
            </w:pPr>
            <w:r w:rsidRPr="009B0AF9">
              <w:rPr>
                <w:rFonts w:ascii="Century Gothic" w:hAnsi="Century Gothic"/>
                <w:i/>
                <w:iCs/>
                <w:sz w:val="20"/>
                <w:szCs w:val="20"/>
              </w:rPr>
              <w:t xml:space="preserve">UWAGA – należy podać pełną liczbę miesięcy. Wartości ułamkowe będą przy ocenie zaokrąglane </w:t>
            </w:r>
            <w:r w:rsidRPr="009B0AF9">
              <w:rPr>
                <w:rFonts w:ascii="Century Gothic" w:hAnsi="Century Gothic"/>
                <w:i/>
                <w:iCs/>
                <w:sz w:val="20"/>
                <w:szCs w:val="20"/>
              </w:rPr>
              <w:lastRenderedPageBreak/>
              <w:t xml:space="preserve">w dół – do pełnych miesięcy. Zamawiający zastrzega, że okres rękojmi musi być równy okresowi gwarancji. </w:t>
            </w:r>
            <w:r w:rsidRPr="009B0AF9">
              <w:rPr>
                <w:rFonts w:ascii="Century Gothic" w:hAnsi="Century Gothic"/>
                <w:i/>
                <w:sz w:val="20"/>
                <w:szCs w:val="20"/>
              </w:rPr>
              <w:t>Zamawiający zastrzega, że górną granicą punktacji gwarancji będzie 10 lat.</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3B5CB9">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lastRenderedPageBreak/>
              <w:t xml:space="preserve">=&gt; </w:t>
            </w:r>
            <w:r w:rsidR="003B5CB9" w:rsidRPr="009B0AF9">
              <w:rPr>
                <w:rFonts w:ascii="Century Gothic" w:hAnsi="Century Gothic"/>
                <w:sz w:val="20"/>
                <w:szCs w:val="20"/>
              </w:rPr>
              <w:t>48</w:t>
            </w:r>
          </w:p>
        </w:tc>
        <w:tc>
          <w:tcPr>
            <w:tcW w:w="4534"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color w:val="FF0000"/>
                <w:sz w:val="20"/>
                <w:szCs w:val="20"/>
              </w:rPr>
            </w:pPr>
          </w:p>
          <w:p w:rsidR="00EC7FF9" w:rsidRPr="009B0AF9" w:rsidRDefault="00EC7FF9" w:rsidP="00EC7FF9">
            <w:pPr>
              <w:widowControl w:val="0"/>
              <w:snapToGrid w:val="0"/>
              <w:spacing w:before="100" w:beforeAutospacing="1" w:after="100" w:afterAutospacing="1" w:line="288" w:lineRule="auto"/>
              <w:jc w:val="center"/>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9B0AF9">
            <w:pPr>
              <w:snapToGrid w:val="0"/>
              <w:jc w:val="both"/>
              <w:rPr>
                <w:rFonts w:ascii="Century Gothic" w:eastAsia="Calibri" w:hAnsi="Century Gothic" w:cs="Calibri"/>
                <w:color w:val="000000" w:themeColor="text1"/>
                <w:sz w:val="20"/>
                <w:szCs w:val="20"/>
              </w:rPr>
            </w:pPr>
            <w:r w:rsidRPr="009B0AF9">
              <w:rPr>
                <w:rFonts w:ascii="Century Gothic" w:hAnsi="Century Gothic"/>
                <w:color w:val="000000" w:themeColor="text1"/>
                <w:sz w:val="20"/>
                <w:szCs w:val="20"/>
              </w:rPr>
              <w:t>Najdłuższy okres – 30 pkt.</w:t>
            </w:r>
          </w:p>
          <w:p w:rsidR="00E65C60" w:rsidRPr="009B0AF9" w:rsidRDefault="00DA3695" w:rsidP="009B0AF9">
            <w:pPr>
              <w:widowControl w:val="0"/>
              <w:snapToGrid w:val="0"/>
              <w:jc w:val="both"/>
              <w:rPr>
                <w:rFonts w:ascii="Century Gothic" w:eastAsia="Calibri" w:hAnsi="Century Gothic" w:cs="Calibri"/>
                <w:sz w:val="20"/>
                <w:szCs w:val="20"/>
              </w:rPr>
            </w:pPr>
            <w:r w:rsidRPr="009B0AF9">
              <w:rPr>
                <w:rFonts w:ascii="Century Gothic" w:hAnsi="Century Gothic"/>
                <w:color w:val="000000" w:themeColor="text1"/>
                <w:sz w:val="20"/>
                <w:szCs w:val="20"/>
              </w:rPr>
              <w:t xml:space="preserve">Pozostałe proporcjonalnie </w:t>
            </w:r>
            <w:r w:rsidR="00E65C60" w:rsidRPr="009B0AF9">
              <w:rPr>
                <w:rFonts w:ascii="Century Gothic" w:hAnsi="Century Gothic"/>
                <w:color w:val="000000" w:themeColor="text1"/>
                <w:sz w:val="20"/>
                <w:szCs w:val="20"/>
              </w:rPr>
              <w:t>mniej względem najdłuższego okresu</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7755C4">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 xml:space="preserve">Gwarancja dostępności części zamiennych [liczba lat] – min. 8 lat </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tabs>
                <w:tab w:val="left" w:pos="0"/>
              </w:tabs>
              <w:snapToGrid w:val="0"/>
              <w:jc w:val="both"/>
              <w:rPr>
                <w:rFonts w:ascii="Century Gothic" w:eastAsia="Calibri" w:hAnsi="Century Gothic" w:cs="Calibri"/>
                <w:sz w:val="20"/>
                <w:szCs w:val="20"/>
              </w:rPr>
            </w:pPr>
            <w:r w:rsidRPr="009B0AF9">
              <w:rPr>
                <w:rFonts w:ascii="Century Gothic" w:hAnsi="Century Gothic"/>
                <w:iCs/>
                <w:sz w:val="20"/>
                <w:szCs w:val="20"/>
              </w:rPr>
              <w:t>W przypadku, gdy w ramach gwarancji następuje wymiana sprzętu na nowy/dokonuje się istotnych napraw sprzętu/wymienia się istotne części sprzętu (podzespołu itp.) termin gwarancji biegnie na nowo. W przypadku zaś  innych napraw przedłużenie okresu gwarancji o każdy dzień w czasie którego Zamawiający nie mógł korzystać z w pełni sprawnego sprzętu</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rPr>
          <w:trHeight w:val="446"/>
        </w:trPr>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tabs>
                <w:tab w:val="left" w:pos="0"/>
              </w:tabs>
              <w:snapToGrid w:val="0"/>
              <w:jc w:val="both"/>
              <w:rPr>
                <w:rFonts w:ascii="Century Gothic" w:eastAsia="Calibri" w:hAnsi="Century Gothic" w:cs="Calibri"/>
                <w:b/>
                <w:bCs/>
                <w:sz w:val="20"/>
                <w:szCs w:val="20"/>
              </w:rPr>
            </w:pPr>
            <w:r w:rsidRPr="009B0AF9">
              <w:rPr>
                <w:rFonts w:ascii="Century Gothic" w:hAnsi="Century Gothic"/>
                <w:b/>
                <w:bCs/>
                <w:sz w:val="20"/>
                <w:szCs w:val="20"/>
              </w:rPr>
              <w:t>WARUNKI SERWISU</w:t>
            </w:r>
          </w:p>
        </w:tc>
        <w:tc>
          <w:tcPr>
            <w:tcW w:w="1559"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p>
        </w:tc>
        <w:tc>
          <w:tcPr>
            <w:tcW w:w="4534"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b/>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b/>
                <w:sz w:val="20"/>
                <w:szCs w:val="20"/>
              </w:rPr>
            </w:pP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tabs>
                <w:tab w:val="left" w:pos="0"/>
              </w:tabs>
              <w:snapToGrid w:val="0"/>
              <w:jc w:val="both"/>
              <w:rPr>
                <w:rFonts w:ascii="Century Gothic" w:eastAsia="Calibri" w:hAnsi="Century Gothic" w:cs="Calibri"/>
                <w:sz w:val="20"/>
                <w:szCs w:val="20"/>
              </w:rPr>
            </w:pPr>
            <w:r w:rsidRPr="009B0AF9">
              <w:rPr>
                <w:rFonts w:ascii="Century Gothic" w:hAnsi="Century Gothic"/>
                <w:sz w:val="20"/>
                <w:szCs w:val="20"/>
              </w:rPr>
              <w:t xml:space="preserve">Zdalna diagnostyka przez chronione łącze </w:t>
            </w:r>
            <w:r w:rsidRPr="009B0AF9">
              <w:rPr>
                <w:rFonts w:ascii="Century Gothic" w:hAnsi="Century Gothic" w:cs="Tahoma"/>
                <w:sz w:val="20"/>
                <w:szCs w:val="20"/>
              </w:rPr>
              <w:t>z możliwością rejestracji i odczytu online rejestrów błędów, oraz monitorowaniem systemu</w:t>
            </w:r>
            <w:r w:rsidRPr="009B0AF9">
              <w:rPr>
                <w:rFonts w:ascii="Century Gothic" w:hAnsi="Century Gothic"/>
                <w:sz w:val="20"/>
                <w:szCs w:val="20"/>
              </w:rPr>
              <w:t>(uwaga – całość ewentualnych prac i wyposażenia sprzętowego, które będzie służyło tej funkcjonalności po stronie wykonawcy)</w:t>
            </w:r>
            <w:r w:rsidR="00F574BF">
              <w:rPr>
                <w:rFonts w:ascii="Century Gothic" w:hAnsi="Century Gothic"/>
                <w:sz w:val="20"/>
                <w:szCs w:val="20"/>
              </w:rPr>
              <w:t xml:space="preserve"> </w:t>
            </w:r>
            <w:r w:rsidR="00F574BF" w:rsidRPr="00F574BF">
              <w:rPr>
                <w:rFonts w:ascii="Century Gothic" w:hAnsi="Century Gothic"/>
                <w:color w:val="FF0000"/>
                <w:sz w:val="20"/>
                <w:szCs w:val="20"/>
              </w:rPr>
              <w:t xml:space="preserve">lub </w:t>
            </w:r>
            <w:r w:rsidR="00F574BF" w:rsidRPr="00F574BF">
              <w:rPr>
                <w:rFonts w:ascii="Century Gothic" w:hAnsi="Century Gothic"/>
                <w:color w:val="FF0000"/>
                <w:sz w:val="20"/>
                <w:szCs w:val="20"/>
                <w:lang w:eastAsia="pl-PL"/>
              </w:rPr>
              <w:t>diagnozowanie pomp z programu zainstalowanego na centralnym komputerze Szpitala</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7755C4"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snapToGrid w:val="0"/>
              <w:jc w:val="both"/>
              <w:rPr>
                <w:rFonts w:ascii="Century Gothic" w:eastAsia="Calibri" w:hAnsi="Century Gothic" w:cs="Calibri"/>
                <w:sz w:val="20"/>
                <w:szCs w:val="20"/>
              </w:rPr>
            </w:pPr>
            <w:r w:rsidRPr="009B0AF9">
              <w:rPr>
                <w:rFonts w:ascii="Century Gothic" w:hAnsi="Century Gothic"/>
                <w:sz w:val="20"/>
                <w:szCs w:val="20"/>
              </w:rPr>
              <w:t>W cenie oferty -  przeglądy okresowe w okresie gwarancji (w częstotliwości i w zakresie zgodnym z wymogami producenta).</w:t>
            </w:r>
          </w:p>
          <w:p w:rsidR="00E65C60" w:rsidRPr="009B0AF9" w:rsidRDefault="00E65C60" w:rsidP="00D2374F">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Obowiązkowy bezpłatny przegląd z końcem biegu gwarancji</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4A4595" w:rsidRDefault="00E65C60" w:rsidP="00F574BF">
            <w:pPr>
              <w:widowControl w:val="0"/>
              <w:snapToGrid w:val="0"/>
              <w:jc w:val="both"/>
              <w:rPr>
                <w:rFonts w:ascii="Century Gothic" w:hAnsi="Century Gothic"/>
                <w:sz w:val="20"/>
                <w:szCs w:val="20"/>
              </w:rPr>
            </w:pPr>
            <w:r w:rsidRPr="009B0AF9">
              <w:rPr>
                <w:rFonts w:ascii="Century Gothic" w:hAnsi="Century Gothic"/>
                <w:sz w:val="20"/>
                <w:szCs w:val="20"/>
              </w:rPr>
              <w:t xml:space="preserve">Wszystkie czynności serwisowe, w tym ponowne podłączenie i uruchomienie sprzętu w miejscu wskazanym przez Zamawiającego oraz  przeglądy </w:t>
            </w:r>
            <w:r w:rsidRPr="009B0AF9">
              <w:rPr>
                <w:rFonts w:ascii="Century Gothic" w:hAnsi="Century Gothic"/>
                <w:sz w:val="20"/>
                <w:szCs w:val="20"/>
              </w:rPr>
              <w:lastRenderedPageBreak/>
              <w:t>konserwacyjne, w okresie gwarancji - w ramach wynagrodzenia umownego</w:t>
            </w:r>
            <w:r w:rsidR="00F574BF">
              <w:rPr>
                <w:rFonts w:ascii="Century Gothic" w:hAnsi="Century Gothic"/>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pStyle w:val="Lista-kontynuacja24"/>
              <w:snapToGrid w:val="0"/>
              <w:spacing w:after="0" w:line="276" w:lineRule="auto"/>
              <w:ind w:left="0"/>
              <w:jc w:val="both"/>
              <w:rPr>
                <w:rFonts w:ascii="Century Gothic" w:hAnsi="Century Gothic"/>
                <w:sz w:val="20"/>
                <w:szCs w:val="20"/>
              </w:rPr>
            </w:pPr>
            <w:r w:rsidRPr="009B0AF9">
              <w:rPr>
                <w:rFonts w:ascii="Century Gothic" w:hAnsi="Century Gothic"/>
                <w:sz w:val="20"/>
                <w:szCs w:val="20"/>
              </w:rPr>
              <w:t>Czas reakcji (dotyczy także reakcji zdalnej): „przyjęte zgłoszenie – podjęta naprawa” =&lt; 48 [godz.]</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pStyle w:val="Lista-kontynuacja24"/>
              <w:snapToGrid w:val="0"/>
              <w:spacing w:after="0" w:line="276" w:lineRule="auto"/>
              <w:ind w:left="0"/>
              <w:jc w:val="both"/>
              <w:rPr>
                <w:rFonts w:ascii="Century Gothic" w:hAnsi="Century Gothic"/>
                <w:sz w:val="20"/>
                <w:szCs w:val="20"/>
              </w:rPr>
            </w:pPr>
            <w:r w:rsidRPr="009B0AF9">
              <w:rPr>
                <w:rFonts w:ascii="Century Gothic" w:hAnsi="Century Gothic"/>
                <w:sz w:val="20"/>
                <w:szCs w:val="20"/>
              </w:rPr>
              <w:t xml:space="preserve">Możliwość zgłoszeń 24h/dobę, 365 dni/rok </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pStyle w:val="Lista-kontynuacja24"/>
              <w:snapToGrid w:val="0"/>
              <w:spacing w:after="0" w:line="276" w:lineRule="auto"/>
              <w:ind w:left="0"/>
              <w:jc w:val="both"/>
              <w:rPr>
                <w:rFonts w:ascii="Century Gothic" w:hAnsi="Century Gothic"/>
                <w:sz w:val="20"/>
                <w:szCs w:val="20"/>
              </w:rPr>
            </w:pPr>
            <w:r w:rsidRPr="009B0AF9">
              <w:rPr>
                <w:rFonts w:ascii="Century Gothic" w:hAnsi="Century Gothic"/>
                <w:sz w:val="20"/>
                <w:szCs w:val="20"/>
              </w:rPr>
              <w:t>Wymiana każdego podzespołu na nowy po pierwszej  nieskutecznej próbie jego naprawy</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widowControl w:val="0"/>
              <w:snapToGrid w:val="0"/>
              <w:jc w:val="both"/>
              <w:rPr>
                <w:rFonts w:ascii="Century Gothic" w:eastAsia="Calibri" w:hAnsi="Century Gothic" w:cs="Calibri"/>
                <w:sz w:val="20"/>
                <w:szCs w:val="20"/>
              </w:rPr>
            </w:pPr>
            <w:r w:rsidRPr="009B0AF9">
              <w:rPr>
                <w:rFonts w:ascii="Century Gothic" w:eastAsia="Calibri" w:hAnsi="Century Gothic"/>
                <w:sz w:val="20"/>
                <w:szCs w:val="20"/>
              </w:rPr>
              <w:t>Zakończenie działań serwisowych – do 5 dni roboczych od dnia zgłoszenia awarii, a w przypadku konieczności importu części zamiennych, nie dłuższym niż 10</w:t>
            </w:r>
            <w:r w:rsidRPr="009B0AF9">
              <w:rPr>
                <w:rFonts w:ascii="Century Gothic" w:eastAsia="Calibri" w:hAnsi="Century Gothic"/>
                <w:b/>
                <w:sz w:val="20"/>
                <w:szCs w:val="20"/>
              </w:rPr>
              <w:t xml:space="preserve"> </w:t>
            </w:r>
            <w:r w:rsidRPr="009B0AF9">
              <w:rPr>
                <w:rFonts w:ascii="Century Gothic" w:eastAsia="Calibri" w:hAnsi="Century Gothic"/>
                <w:sz w:val="20"/>
                <w:szCs w:val="20"/>
              </w:rPr>
              <w:t>dni roboczych od dnia zgłoszenia awarii.</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tabs>
                <w:tab w:val="left" w:pos="0"/>
              </w:tabs>
              <w:snapToGrid w:val="0"/>
              <w:jc w:val="both"/>
              <w:rPr>
                <w:rFonts w:ascii="Century Gothic" w:eastAsia="Calibri" w:hAnsi="Century Gothic" w:cs="Calibri"/>
                <w:sz w:val="20"/>
                <w:szCs w:val="20"/>
              </w:rPr>
            </w:pPr>
            <w:r w:rsidRPr="009B0AF9">
              <w:rPr>
                <w:rFonts w:ascii="Century Gothic" w:hAnsi="Century Gothic"/>
                <w:sz w:val="20"/>
                <w:szCs w:val="20"/>
              </w:rPr>
              <w:t>Struktura serwisowa gwarantująca realizację wymogów stawianych w niniejszej specyfikacji lub udokumentowana/uprawdopodobniona dokumentami możliwość gwarancji realizacji wymogów stawianych w niniejszej specyfikacji – 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pStyle w:val="Lista-kontynuacja24"/>
              <w:snapToGrid w:val="0"/>
              <w:spacing w:after="0" w:line="276" w:lineRule="auto"/>
              <w:ind w:left="0"/>
              <w:jc w:val="both"/>
              <w:rPr>
                <w:rFonts w:ascii="Century Gothic" w:hAnsi="Century Gothic"/>
                <w:sz w:val="20"/>
                <w:szCs w:val="20"/>
              </w:rPr>
            </w:pPr>
            <w:r w:rsidRPr="009B0AF9">
              <w:rPr>
                <w:rFonts w:ascii="Century Gothic" w:hAnsi="Century Gothic"/>
                <w:sz w:val="20"/>
                <w:szCs w:val="20"/>
              </w:rPr>
              <w:t xml:space="preserve">Sprzęt/y będzie/będą pozbawione haseł, kodów, blokad serwisowych, itp., które po upływie gwarancji utrudniałyby Zamawiającemu dostęp do opcji serwisowych lub naprawę sprzętu/ów przez inny niż Wykonawca umowy podmiot, w przypadku nie korzystania przez zamawiającego z serwisu </w:t>
            </w:r>
            <w:r w:rsidRPr="009B0AF9">
              <w:rPr>
                <w:rFonts w:ascii="Century Gothic" w:hAnsi="Century Gothic"/>
                <w:sz w:val="20"/>
                <w:szCs w:val="20"/>
              </w:rPr>
              <w:lastRenderedPageBreak/>
              <w:t xml:space="preserve">pogwarancyjnego Wykonawcy </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jc w:val="both"/>
              <w:rPr>
                <w:rFonts w:ascii="Century Gothic" w:eastAsia="Calibri" w:hAnsi="Century Gothic" w:cs="Calibri"/>
                <w:b/>
                <w:bCs/>
                <w:sz w:val="20"/>
                <w:szCs w:val="20"/>
              </w:rPr>
            </w:pPr>
            <w:r w:rsidRPr="009B0AF9">
              <w:rPr>
                <w:rFonts w:ascii="Century Gothic" w:hAnsi="Century Gothic"/>
                <w:b/>
                <w:bCs/>
                <w:sz w:val="20"/>
                <w:szCs w:val="20"/>
              </w:rPr>
              <w:t>SZKOLENIA</w:t>
            </w:r>
          </w:p>
        </w:tc>
        <w:tc>
          <w:tcPr>
            <w:tcW w:w="1559"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p>
        </w:tc>
        <w:tc>
          <w:tcPr>
            <w:tcW w:w="4534"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both"/>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505CE7">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 xml:space="preserve">Szkolenia dla personelu  medycznego z zakresu obsługi urządzenia (min. </w:t>
            </w:r>
            <w:r w:rsidR="00505CE7" w:rsidRPr="009B0AF9">
              <w:rPr>
                <w:rFonts w:ascii="Century Gothic" w:hAnsi="Century Gothic"/>
                <w:sz w:val="20"/>
                <w:szCs w:val="20"/>
              </w:rPr>
              <w:t>50</w:t>
            </w:r>
            <w:r w:rsidRPr="009B0AF9">
              <w:rPr>
                <w:rFonts w:ascii="Century Gothic" w:hAnsi="Century Gothic"/>
                <w:sz w:val="20"/>
                <w:szCs w:val="20"/>
              </w:rPr>
              <w:t xml:space="preserve"> osób z możliwością podziału i szkolenia w mniejszych podgrupach) w momencie jego instalacji i odbioru; w razie potrzeby Zamawiającego, możliwość stałego wsparcia aplikacyjnego w początkowym (do 6 -ciu miesięcy) okresie pracy urządzeń (dodatkowe szkolenie, dodatkowa grupa osób, konsultacje, itp.)</w:t>
            </w:r>
          </w:p>
        </w:tc>
        <w:tc>
          <w:tcPr>
            <w:tcW w:w="1559"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505CE7">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 xml:space="preserve">Szkolenia dla personelu technicznego (min. </w:t>
            </w:r>
            <w:r w:rsidR="00505CE7" w:rsidRPr="009B0AF9">
              <w:rPr>
                <w:rFonts w:ascii="Century Gothic" w:hAnsi="Century Gothic"/>
                <w:sz w:val="20"/>
                <w:szCs w:val="20"/>
              </w:rPr>
              <w:t>4</w:t>
            </w:r>
            <w:r w:rsidRPr="009B0AF9">
              <w:rPr>
                <w:rFonts w:ascii="Century Gothic" w:hAnsi="Century Gothic"/>
                <w:sz w:val="20"/>
                <w:szCs w:val="20"/>
              </w:rPr>
              <w:t xml:space="preserve"> osoby) z zakresu podstawowej diagnostyki stanu technicznego i wykonywania podstawowych czynności konserwacyjnych, diagnostycznych i przeglądowych; w razie potrzeby możliwość stałego wsparcia aplikacyjnego w początkowym (do 6-iu miesięcy) okresie pracy urządzeń (dodatkowe szkolenie, dodatkowa grupa osób, konsultacje, itp.)</w:t>
            </w:r>
          </w:p>
        </w:tc>
        <w:tc>
          <w:tcPr>
            <w:tcW w:w="1559"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snapToGrid w:val="0"/>
              <w:jc w:val="both"/>
              <w:rPr>
                <w:rFonts w:ascii="Century Gothic" w:eastAsia="Calibri" w:hAnsi="Century Gothic" w:cs="Calibri"/>
                <w:sz w:val="20"/>
                <w:szCs w:val="20"/>
              </w:rPr>
            </w:pPr>
            <w:r w:rsidRPr="009B0AF9">
              <w:rPr>
                <w:rFonts w:ascii="Century Gothic" w:hAnsi="Century Gothic"/>
                <w:sz w:val="20"/>
                <w:szCs w:val="20"/>
              </w:rPr>
              <w:t>Liczba i okres szkoleń:</w:t>
            </w:r>
          </w:p>
          <w:p w:rsidR="00E65C60" w:rsidRPr="009B0AF9" w:rsidRDefault="00E65C60" w:rsidP="00D2374F">
            <w:pPr>
              <w:numPr>
                <w:ilvl w:val="0"/>
                <w:numId w:val="9"/>
              </w:numPr>
              <w:tabs>
                <w:tab w:val="num" w:pos="720"/>
              </w:tabs>
              <w:suppressAutoHyphens w:val="0"/>
              <w:ind w:left="0" w:firstLine="0"/>
              <w:jc w:val="both"/>
              <w:rPr>
                <w:rFonts w:ascii="Century Gothic" w:hAnsi="Century Gothic"/>
                <w:sz w:val="20"/>
                <w:szCs w:val="20"/>
              </w:rPr>
            </w:pPr>
            <w:r w:rsidRPr="009B0AF9">
              <w:rPr>
                <w:rFonts w:ascii="Century Gothic" w:hAnsi="Century Gothic"/>
                <w:sz w:val="20"/>
                <w:szCs w:val="20"/>
              </w:rPr>
              <w:t xml:space="preserve">pierwsze szkolenie - tuż po instalacji systemu, w wymiarze do 2 dni roboczych </w:t>
            </w:r>
          </w:p>
          <w:p w:rsidR="00E65C60" w:rsidRPr="009B0AF9" w:rsidRDefault="00E65C60" w:rsidP="00D2374F">
            <w:pPr>
              <w:numPr>
                <w:ilvl w:val="0"/>
                <w:numId w:val="9"/>
              </w:numPr>
              <w:tabs>
                <w:tab w:val="num" w:pos="720"/>
              </w:tabs>
              <w:suppressAutoHyphens w:val="0"/>
              <w:ind w:left="0" w:firstLine="0"/>
              <w:jc w:val="both"/>
              <w:rPr>
                <w:rFonts w:ascii="Century Gothic" w:hAnsi="Century Gothic"/>
                <w:sz w:val="20"/>
                <w:szCs w:val="20"/>
              </w:rPr>
            </w:pPr>
            <w:r w:rsidRPr="009B0AF9">
              <w:rPr>
                <w:rFonts w:ascii="Century Gothic" w:hAnsi="Century Gothic"/>
                <w:sz w:val="20"/>
                <w:szCs w:val="20"/>
              </w:rPr>
              <w:t>dodatkowe, w razie potrzeby, w innym terminie ustalonym z kierownikiem pracowni,</w:t>
            </w:r>
          </w:p>
          <w:p w:rsidR="00E65C60" w:rsidRPr="009B0AF9" w:rsidRDefault="00E65C60" w:rsidP="00D2374F">
            <w:pPr>
              <w:widowControl w:val="0"/>
              <w:jc w:val="both"/>
              <w:rPr>
                <w:rFonts w:ascii="Century Gothic" w:eastAsia="Calibri" w:hAnsi="Century Gothic" w:cs="Calibri"/>
                <w:sz w:val="20"/>
                <w:szCs w:val="20"/>
              </w:rPr>
            </w:pPr>
            <w:r w:rsidRPr="009B0AF9">
              <w:rPr>
                <w:rFonts w:ascii="Century Gothic" w:hAnsi="Century Gothic"/>
                <w:sz w:val="20"/>
                <w:szCs w:val="20"/>
              </w:rPr>
              <w:t>Uwaga – szkolenia dodatkowe dla wszystkich grup w co najmniej takiej samej liczbie osób jak podano w powyższych punktach</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rPr>
          <w:trHeight w:val="318"/>
        </w:trPr>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9B0AF9">
            <w:pPr>
              <w:widowControl w:val="0"/>
              <w:snapToGrid w:val="0"/>
              <w:jc w:val="both"/>
              <w:rPr>
                <w:rFonts w:ascii="Century Gothic" w:eastAsia="Calibri" w:hAnsi="Century Gothic" w:cs="Calibri"/>
                <w:b/>
                <w:bCs/>
                <w:sz w:val="20"/>
                <w:szCs w:val="20"/>
              </w:rPr>
            </w:pPr>
            <w:r w:rsidRPr="009B0AF9">
              <w:rPr>
                <w:rFonts w:ascii="Century Gothic" w:hAnsi="Century Gothic"/>
                <w:b/>
                <w:bCs/>
                <w:sz w:val="20"/>
                <w:szCs w:val="20"/>
              </w:rPr>
              <w:t>DOKUMENTACJA</w:t>
            </w:r>
          </w:p>
        </w:tc>
        <w:tc>
          <w:tcPr>
            <w:tcW w:w="1559"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p>
        </w:tc>
        <w:tc>
          <w:tcPr>
            <w:tcW w:w="4534"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rPr>
                <w:rFonts w:ascii="Century Gothic" w:eastAsia="Calibri" w:hAnsi="Century Gothic" w:cs="Calibri"/>
                <w:b/>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rPr>
                <w:rFonts w:ascii="Century Gothic" w:eastAsia="Calibri" w:hAnsi="Century Gothic" w:cs="Calibri"/>
                <w:sz w:val="20"/>
                <w:szCs w:val="20"/>
              </w:rPr>
            </w:pP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widowControl w:val="0"/>
              <w:autoSpaceDE w:val="0"/>
              <w:snapToGrid w:val="0"/>
              <w:jc w:val="both"/>
              <w:rPr>
                <w:rFonts w:ascii="Century Gothic" w:eastAsia="Calibri" w:hAnsi="Century Gothic" w:cs="Tahoma"/>
                <w:sz w:val="20"/>
                <w:szCs w:val="20"/>
              </w:rPr>
            </w:pPr>
            <w:r w:rsidRPr="009B0AF9">
              <w:rPr>
                <w:rFonts w:ascii="Century Gothic" w:hAnsi="Century Gothic" w:cs="Tahoma"/>
                <w:sz w:val="20"/>
                <w:szCs w:val="20"/>
              </w:rPr>
              <w:t xml:space="preserve">Instrukcje obsługi w języku polskim w formie elektronicznej i drukowanej (przekazane w </w:t>
            </w:r>
            <w:r w:rsidRPr="009B0AF9">
              <w:rPr>
                <w:rFonts w:ascii="Century Gothic" w:hAnsi="Century Gothic" w:cs="Tahoma"/>
                <w:sz w:val="20"/>
                <w:szCs w:val="20"/>
              </w:rPr>
              <w:lastRenderedPageBreak/>
              <w:t>momencie dostawy dla każdego egzemplarza) – dotyczy także urządzeń peryferyjnych</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Wykonawca w ramach dostawy sprzętu zobowiązuje się dostarczyć komplet akcesoriów, okablowania itp. asortymentu niezbędnego do uruchomienia i funkcjonowania aparatu jako całości w wymaganej specyfikacją konfiguracji</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snapToGrid w:val="0"/>
              <w:jc w:val="both"/>
              <w:rPr>
                <w:rFonts w:ascii="Century Gothic" w:eastAsia="Calibri" w:hAnsi="Century Gothic" w:cs="Calibri"/>
                <w:sz w:val="20"/>
                <w:szCs w:val="20"/>
              </w:rPr>
            </w:pPr>
            <w:r w:rsidRPr="009B0AF9">
              <w:rPr>
                <w:rFonts w:ascii="Century Gothic" w:hAnsi="Century Gothic"/>
                <w:sz w:val="20"/>
                <w:szCs w:val="20"/>
              </w:rPr>
              <w:t>Dokumentacja (lub tzw. lista kontrolna zawierająca wykaz części i czynności) dotycząca przeglądów technicznych w języku polskim (dostarczona przy dostawie)</w:t>
            </w:r>
          </w:p>
          <w:p w:rsidR="00E65C60" w:rsidRPr="009B0AF9" w:rsidRDefault="00E65C60" w:rsidP="00D2374F">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Z urządzeniem wykonawca dostarczy paszport techniczny zawierający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widowControl w:val="0"/>
              <w:jc w:val="both"/>
              <w:rPr>
                <w:rFonts w:ascii="Century Gothic" w:eastAsia="Calibri" w:hAnsi="Century Gothic" w:cs="Calibri"/>
                <w:sz w:val="20"/>
                <w:szCs w:val="20"/>
              </w:rPr>
            </w:pPr>
            <w:r w:rsidRPr="009B0AF9">
              <w:rPr>
                <w:rFonts w:ascii="Century Gothic" w:hAnsi="Century Gothic"/>
                <w:sz w:val="20"/>
                <w:szCs w:val="20"/>
              </w:rPr>
              <w:t>Instrukcja konserwacji, mycia, dezynfekcji i sterylizacji dla zaoferowanych elementów wraz z urządzeniami peryferyjnymi (jeśli dotyczy),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napToGrid w:val="0"/>
              <w:spacing w:before="100" w:beforeAutospacing="1" w:after="100" w:afterAutospacing="1" w:line="288" w:lineRule="auto"/>
              <w:jc w:val="both"/>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E65C60"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jc w:val="both"/>
              <w:rPr>
                <w:rFonts w:ascii="Century Gothic" w:eastAsia="Calibri" w:hAnsi="Century Gothic" w:cs="Calibri"/>
                <w:sz w:val="20"/>
                <w:szCs w:val="20"/>
              </w:rPr>
            </w:pPr>
            <w:r w:rsidRPr="009B0AF9">
              <w:rPr>
                <w:rFonts w:ascii="Century Gothic" w:hAnsi="Century Gothic"/>
                <w:sz w:val="20"/>
                <w:szCs w:val="20"/>
              </w:rPr>
              <w:t>Możliwość mycia i dezynfekcji poszczególnych elementów aparatów w oparciu o przedstawione przez wykonawcę zalecane preparaty myjące i dezynfekujące.</w:t>
            </w:r>
          </w:p>
          <w:p w:rsidR="00E65C60" w:rsidRPr="009B0AF9" w:rsidRDefault="00E65C60" w:rsidP="00D2374F">
            <w:pPr>
              <w:widowControl w:val="0"/>
              <w:jc w:val="both"/>
              <w:rPr>
                <w:rFonts w:ascii="Century Gothic" w:eastAsia="Calibri" w:hAnsi="Century Gothic" w:cs="Calibri"/>
                <w:i/>
                <w:sz w:val="20"/>
                <w:szCs w:val="20"/>
              </w:rPr>
            </w:pPr>
            <w:r w:rsidRPr="009B0AF9">
              <w:rPr>
                <w:rFonts w:ascii="Century Gothic" w:hAnsi="Century Gothic"/>
                <w:i/>
                <w:sz w:val="20"/>
                <w:szCs w:val="20"/>
              </w:rPr>
              <w:lastRenderedPageBreak/>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napToGrid w:val="0"/>
              <w:spacing w:before="100" w:beforeAutospacing="1" w:after="100" w:afterAutospacing="1" w:line="288" w:lineRule="auto"/>
              <w:jc w:val="both"/>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bl>
    <w:p w:rsidR="00E65C60" w:rsidRPr="00FF4BF5" w:rsidRDefault="00E65C60" w:rsidP="003C5957">
      <w:pPr>
        <w:spacing w:line="288" w:lineRule="auto"/>
        <w:rPr>
          <w:rFonts w:ascii="Century Gothic" w:eastAsia="Calibri" w:hAnsi="Century Gothic" w:cs="Calibri"/>
          <w:b/>
        </w:rPr>
      </w:pPr>
    </w:p>
    <w:sectPr w:rsidR="00E65C60" w:rsidRPr="00FF4BF5" w:rsidSect="0074558B">
      <w:headerReference w:type="default" r:id="rId9"/>
      <w:footerReference w:type="default" r:id="rId10"/>
      <w:pgSz w:w="16838" w:h="11906" w:orient="landscape"/>
      <w:pgMar w:top="1417" w:right="1417" w:bottom="1417" w:left="1417" w:header="284"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089B" w:rsidRDefault="00F9089B" w:rsidP="0097030B">
      <w:r>
        <w:separator/>
      </w:r>
    </w:p>
  </w:endnote>
  <w:endnote w:type="continuationSeparator" w:id="0">
    <w:p w:rsidR="00F9089B" w:rsidRDefault="00F9089B" w:rsidP="009703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ndale Sans UI">
    <w:altName w:val="Arial Unicode MS"/>
    <w:charset w:val="00"/>
    <w:family w:val="auto"/>
    <w:pitch w:val="variable"/>
  </w:font>
  <w:font w:name="Comic Sans MS">
    <w:panose1 w:val="030F0702030302020204"/>
    <w:charset w:val="EE"/>
    <w:family w:val="script"/>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Lucida Sans Unicode">
    <w:panose1 w:val="020B0602030504020204"/>
    <w:charset w:val="EE"/>
    <w:family w:val="swiss"/>
    <w:pitch w:val="variable"/>
    <w:sig w:usb0="80000AFF" w:usb1="0000396B" w:usb2="00000000" w:usb3="00000000" w:csb0="0000003F" w:csb1="00000000"/>
  </w:font>
  <w:font w:name="Century Gothic">
    <w:panose1 w:val="020B0502020202020204"/>
    <w:charset w:val="EE"/>
    <w:family w:val="swiss"/>
    <w:pitch w:val="variable"/>
    <w:sig w:usb0="00000287" w:usb1="000000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1988466"/>
      <w:docPartObj>
        <w:docPartGallery w:val="Page Numbers (Bottom of Page)"/>
        <w:docPartUnique/>
      </w:docPartObj>
    </w:sdtPr>
    <w:sdtEndPr/>
    <w:sdtContent>
      <w:p w:rsidR="002D5F76" w:rsidRDefault="002D5F76">
        <w:pPr>
          <w:pStyle w:val="Stopka"/>
          <w:jc w:val="right"/>
        </w:pPr>
        <w:r>
          <w:fldChar w:fldCharType="begin"/>
        </w:r>
        <w:r>
          <w:instrText>PAGE   \* MERGEFORMAT</w:instrText>
        </w:r>
        <w:r>
          <w:fldChar w:fldCharType="separate"/>
        </w:r>
        <w:r w:rsidR="002B13BD">
          <w:rPr>
            <w:noProof/>
          </w:rPr>
          <w:t>20</w:t>
        </w:r>
        <w:r>
          <w:fldChar w:fldCharType="end"/>
        </w:r>
      </w:p>
    </w:sdtContent>
  </w:sdt>
  <w:p w:rsidR="002D5F76" w:rsidRDefault="002D5F76">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089B" w:rsidRDefault="00F9089B" w:rsidP="0097030B">
      <w:r>
        <w:separator/>
      </w:r>
    </w:p>
  </w:footnote>
  <w:footnote w:type="continuationSeparator" w:id="0">
    <w:p w:rsidR="00F9089B" w:rsidRDefault="00F9089B" w:rsidP="0097030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5F76" w:rsidRDefault="002D5F76" w:rsidP="00B768CE">
    <w:pPr>
      <w:pStyle w:val="Nagwek"/>
      <w:jc w:val="center"/>
    </w:pPr>
    <w:r>
      <w:rPr>
        <w:noProof/>
        <w:lang w:eastAsia="pl-PL"/>
      </w:rPr>
      <w:drawing>
        <wp:inline distT="0" distB="0" distL="0" distR="0" wp14:anchorId="3AF7D90F" wp14:editId="514EF46E">
          <wp:extent cx="7578137" cy="864000"/>
          <wp:effectExtent l="0" t="0" r="381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FRR_mono-72dpi.jpg"/>
                  <pic:cNvPicPr/>
                </pic:nvPicPr>
                <pic:blipFill>
                  <a:blip r:embed="rId1">
                    <a:extLst>
                      <a:ext uri="{28A0092B-C50C-407E-A947-70E740481C1C}">
                        <a14:useLocalDpi xmlns:a14="http://schemas.microsoft.com/office/drawing/2010/main" val="0"/>
                      </a:ext>
                    </a:extLst>
                  </a:blip>
                  <a:stretch>
                    <a:fillRect/>
                  </a:stretch>
                </pic:blipFill>
                <pic:spPr>
                  <a:xfrm>
                    <a:off x="0" y="0"/>
                    <a:ext cx="7578137" cy="864000"/>
                  </a:xfrm>
                  <a:prstGeom prst="rect">
                    <a:avLst/>
                  </a:prstGeom>
                </pic:spPr>
              </pic:pic>
            </a:graphicData>
          </a:graphic>
        </wp:inline>
      </w:drawing>
    </w:r>
  </w:p>
  <w:p w:rsidR="002D5F76" w:rsidRPr="00DB32A3" w:rsidRDefault="002D5F76" w:rsidP="0074558B">
    <w:pPr>
      <w:tabs>
        <w:tab w:val="center" w:pos="4536"/>
        <w:tab w:val="right" w:pos="14040"/>
      </w:tabs>
      <w:suppressAutoHyphens w:val="0"/>
      <w:rPr>
        <w:kern w:val="0"/>
        <w:sz w:val="20"/>
        <w:szCs w:val="20"/>
        <w:lang w:eastAsia="pl-PL"/>
      </w:rPr>
    </w:pPr>
    <w:r>
      <w:rPr>
        <w:color w:val="000000"/>
        <w:kern w:val="3"/>
        <w:sz w:val="20"/>
        <w:szCs w:val="20"/>
        <w:lang w:eastAsia="pl-PL" w:bidi="hi-IN"/>
      </w:rPr>
      <w:t>NSSU.DFP.271.20.</w:t>
    </w:r>
    <w:r w:rsidRPr="00DB32A3">
      <w:rPr>
        <w:color w:val="000000"/>
        <w:kern w:val="3"/>
        <w:sz w:val="20"/>
        <w:szCs w:val="20"/>
        <w:lang w:eastAsia="pl-PL" w:bidi="hi-IN"/>
      </w:rPr>
      <w:t>2018.LS</w:t>
    </w:r>
    <w:r w:rsidRPr="00DB32A3">
      <w:rPr>
        <w:kern w:val="0"/>
        <w:sz w:val="20"/>
        <w:szCs w:val="20"/>
        <w:lang w:eastAsia="pl-PL"/>
      </w:rPr>
      <w:tab/>
    </w:r>
    <w:r w:rsidRPr="00DB32A3">
      <w:rPr>
        <w:kern w:val="0"/>
        <w:sz w:val="20"/>
        <w:szCs w:val="20"/>
        <w:lang w:eastAsia="pl-PL"/>
      </w:rPr>
      <w:tab/>
      <w:t>Załącznik nr 1a do specyfikacji</w:t>
    </w:r>
  </w:p>
  <w:p w:rsidR="002D5F76" w:rsidRDefault="002D5F76" w:rsidP="0074558B">
    <w:pPr>
      <w:tabs>
        <w:tab w:val="center" w:pos="4536"/>
        <w:tab w:val="right" w:pos="14040"/>
      </w:tabs>
      <w:suppressAutoHyphens w:val="0"/>
      <w:jc w:val="right"/>
      <w:rPr>
        <w:kern w:val="0"/>
        <w:sz w:val="20"/>
        <w:szCs w:val="20"/>
        <w:lang w:eastAsia="pl-PL"/>
      </w:rPr>
    </w:pPr>
    <w:r w:rsidRPr="00DB32A3">
      <w:rPr>
        <w:kern w:val="0"/>
        <w:sz w:val="20"/>
        <w:szCs w:val="20"/>
        <w:lang w:eastAsia="pl-PL"/>
      </w:rPr>
      <w:t>Załącznik nr …… do umowy</w:t>
    </w:r>
  </w:p>
  <w:p w:rsidR="002D5F76" w:rsidRDefault="002D5F76" w:rsidP="0074558B">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singleLevel"/>
    <w:tmpl w:val="00000002"/>
    <w:name w:val="WW8Num2"/>
    <w:lvl w:ilvl="0">
      <w:numFmt w:val="bullet"/>
      <w:lvlText w:val="-"/>
      <w:lvlJc w:val="left"/>
      <w:pPr>
        <w:tabs>
          <w:tab w:val="num" w:pos="720"/>
        </w:tabs>
        <w:ind w:left="720" w:hanging="360"/>
      </w:pPr>
      <w:rPr>
        <w:rFonts w:ascii="Times New Roman" w:hAnsi="Times New Roman"/>
      </w:rPr>
    </w:lvl>
  </w:abstractNum>
  <w:abstractNum w:abstractNumId="2">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3">
    <w:nsid w:val="00000004"/>
    <w:multiLevelType w:val="singleLevel"/>
    <w:tmpl w:val="9E02435C"/>
    <w:name w:val="WW8Num4"/>
    <w:lvl w:ilvl="0">
      <w:start w:val="1"/>
      <w:numFmt w:val="decimal"/>
      <w:lvlText w:val="%1."/>
      <w:lvlJc w:val="center"/>
      <w:pPr>
        <w:tabs>
          <w:tab w:val="num" w:pos="720"/>
        </w:tabs>
        <w:ind w:left="720" w:hanging="360"/>
      </w:pPr>
      <w:rPr>
        <w:rFonts w:ascii="Times New Roman" w:eastAsia="Times New Roman" w:hAnsi="Times New Roman" w:cs="Times New Roman" w:hint="default"/>
        <w:b w:val="0"/>
        <w:bCs w:val="0"/>
      </w:rPr>
    </w:lvl>
  </w:abstractNum>
  <w:abstractNum w:abstractNumId="4">
    <w:nsid w:val="0C013FCF"/>
    <w:multiLevelType w:val="hybridMultilevel"/>
    <w:tmpl w:val="874E48FC"/>
    <w:lvl w:ilvl="0" w:tplc="5E5EC80A">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nsid w:val="10BC2A49"/>
    <w:multiLevelType w:val="hybridMultilevel"/>
    <w:tmpl w:val="FB7AFF8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nsid w:val="1DF506C2"/>
    <w:multiLevelType w:val="hybridMultilevel"/>
    <w:tmpl w:val="FF947D72"/>
    <w:lvl w:ilvl="0" w:tplc="291ED5DA">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33615AD5"/>
    <w:multiLevelType w:val="hybridMultilevel"/>
    <w:tmpl w:val="C11CCF92"/>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4B0C44CF"/>
    <w:multiLevelType w:val="hybridMultilevel"/>
    <w:tmpl w:val="F00806F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4C2D25C4"/>
    <w:multiLevelType w:val="hybridMultilevel"/>
    <w:tmpl w:val="FE4C31B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4F64714E"/>
    <w:multiLevelType w:val="hybridMultilevel"/>
    <w:tmpl w:val="98322D4C"/>
    <w:lvl w:ilvl="0" w:tplc="126AC6DA">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nsid w:val="6F962729"/>
    <w:multiLevelType w:val="hybridMultilevel"/>
    <w:tmpl w:val="BC965858"/>
    <w:lvl w:ilvl="0" w:tplc="BEE61AE2">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3"/>
    <w:lvlOverride w:ilvl="0">
      <w:startOverride w:val="1"/>
    </w:lvlOverride>
  </w:num>
  <w:num w:numId="4">
    <w:abstractNumId w:val="11"/>
  </w:num>
  <w:num w:numId="5">
    <w:abstractNumId w:val="11"/>
  </w:num>
  <w:num w:numId="6">
    <w:abstractNumId w:val="9"/>
  </w:num>
  <w:num w:numId="7">
    <w:abstractNumId w:val="0"/>
  </w:num>
  <w:num w:numId="8">
    <w:abstractNumId w:val="4"/>
  </w:num>
  <w:num w:numId="9">
    <w:abstractNumId w:val="2"/>
  </w:num>
  <w:num w:numId="10">
    <w:abstractNumId w:val="4"/>
  </w:num>
  <w:num w:numId="11">
    <w:abstractNumId w:val="8"/>
  </w:num>
  <w:num w:numId="12">
    <w:abstractNumId w:val="6"/>
  </w:num>
  <w:num w:numId="13">
    <w:abstractNumId w:val="7"/>
  </w:num>
  <w:num w:numId="14">
    <w:abstractNumId w:val="5"/>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6A22"/>
    <w:rsid w:val="0000023D"/>
    <w:rsid w:val="000075EA"/>
    <w:rsid w:val="00012C6D"/>
    <w:rsid w:val="00015C90"/>
    <w:rsid w:val="0002050E"/>
    <w:rsid w:val="00027AE6"/>
    <w:rsid w:val="00031551"/>
    <w:rsid w:val="00036190"/>
    <w:rsid w:val="000371FC"/>
    <w:rsid w:val="000378F8"/>
    <w:rsid w:val="00037FF4"/>
    <w:rsid w:val="00040922"/>
    <w:rsid w:val="00040977"/>
    <w:rsid w:val="00045620"/>
    <w:rsid w:val="0005212C"/>
    <w:rsid w:val="000675B2"/>
    <w:rsid w:val="000715B8"/>
    <w:rsid w:val="000829D4"/>
    <w:rsid w:val="00091268"/>
    <w:rsid w:val="0009159C"/>
    <w:rsid w:val="00093EFD"/>
    <w:rsid w:val="000A197A"/>
    <w:rsid w:val="000A6ED8"/>
    <w:rsid w:val="000B1DFC"/>
    <w:rsid w:val="000C0DAF"/>
    <w:rsid w:val="000C74F1"/>
    <w:rsid w:val="000F30BC"/>
    <w:rsid w:val="000F3AE9"/>
    <w:rsid w:val="001169A4"/>
    <w:rsid w:val="00120B6C"/>
    <w:rsid w:val="0012165A"/>
    <w:rsid w:val="00127DF5"/>
    <w:rsid w:val="001411EA"/>
    <w:rsid w:val="00146AF9"/>
    <w:rsid w:val="00152636"/>
    <w:rsid w:val="00156648"/>
    <w:rsid w:val="00170007"/>
    <w:rsid w:val="001711EE"/>
    <w:rsid w:val="001850BD"/>
    <w:rsid w:val="0019242D"/>
    <w:rsid w:val="001A0751"/>
    <w:rsid w:val="001A0944"/>
    <w:rsid w:val="001B0A09"/>
    <w:rsid w:val="001B1988"/>
    <w:rsid w:val="001B21D0"/>
    <w:rsid w:val="001B67B6"/>
    <w:rsid w:val="001C2EBD"/>
    <w:rsid w:val="001C2FB5"/>
    <w:rsid w:val="001C6B00"/>
    <w:rsid w:val="001D3E22"/>
    <w:rsid w:val="001D755E"/>
    <w:rsid w:val="001E4E45"/>
    <w:rsid w:val="001E50FA"/>
    <w:rsid w:val="001E60D8"/>
    <w:rsid w:val="00202ED0"/>
    <w:rsid w:val="0020452A"/>
    <w:rsid w:val="002048DD"/>
    <w:rsid w:val="00207897"/>
    <w:rsid w:val="00212609"/>
    <w:rsid w:val="00215BBA"/>
    <w:rsid w:val="00222EA4"/>
    <w:rsid w:val="00223833"/>
    <w:rsid w:val="0022601C"/>
    <w:rsid w:val="00226CE3"/>
    <w:rsid w:val="00232F25"/>
    <w:rsid w:val="00236ACC"/>
    <w:rsid w:val="002454E8"/>
    <w:rsid w:val="002476A8"/>
    <w:rsid w:val="00283C24"/>
    <w:rsid w:val="00285673"/>
    <w:rsid w:val="002940DD"/>
    <w:rsid w:val="00296CA6"/>
    <w:rsid w:val="002A5CCB"/>
    <w:rsid w:val="002B0A30"/>
    <w:rsid w:val="002B13BD"/>
    <w:rsid w:val="002B3EFE"/>
    <w:rsid w:val="002B67B9"/>
    <w:rsid w:val="002C2283"/>
    <w:rsid w:val="002C2510"/>
    <w:rsid w:val="002C3D8E"/>
    <w:rsid w:val="002C5FC5"/>
    <w:rsid w:val="002D0A4E"/>
    <w:rsid w:val="002D4F4C"/>
    <w:rsid w:val="002D5F76"/>
    <w:rsid w:val="002E780E"/>
    <w:rsid w:val="002F039C"/>
    <w:rsid w:val="002F4F6A"/>
    <w:rsid w:val="0030195E"/>
    <w:rsid w:val="00314D57"/>
    <w:rsid w:val="0032073B"/>
    <w:rsid w:val="00326200"/>
    <w:rsid w:val="00333C64"/>
    <w:rsid w:val="00335708"/>
    <w:rsid w:val="00335E17"/>
    <w:rsid w:val="00335FF1"/>
    <w:rsid w:val="00340AFE"/>
    <w:rsid w:val="0035373D"/>
    <w:rsid w:val="003604CB"/>
    <w:rsid w:val="00362CE9"/>
    <w:rsid w:val="00371201"/>
    <w:rsid w:val="003721A4"/>
    <w:rsid w:val="00377429"/>
    <w:rsid w:val="00377A12"/>
    <w:rsid w:val="00380106"/>
    <w:rsid w:val="00381162"/>
    <w:rsid w:val="0038176D"/>
    <w:rsid w:val="00382031"/>
    <w:rsid w:val="00382231"/>
    <w:rsid w:val="00386BDE"/>
    <w:rsid w:val="0039239F"/>
    <w:rsid w:val="003943D9"/>
    <w:rsid w:val="00394675"/>
    <w:rsid w:val="003A083D"/>
    <w:rsid w:val="003A2A8E"/>
    <w:rsid w:val="003A3619"/>
    <w:rsid w:val="003B07FE"/>
    <w:rsid w:val="003B1594"/>
    <w:rsid w:val="003B5CB9"/>
    <w:rsid w:val="003B7B28"/>
    <w:rsid w:val="003B7CAB"/>
    <w:rsid w:val="003C0E07"/>
    <w:rsid w:val="003C1631"/>
    <w:rsid w:val="003C4B74"/>
    <w:rsid w:val="003C4F5B"/>
    <w:rsid w:val="003C5957"/>
    <w:rsid w:val="003D4934"/>
    <w:rsid w:val="003D6722"/>
    <w:rsid w:val="003E0512"/>
    <w:rsid w:val="003E6054"/>
    <w:rsid w:val="003E7B4E"/>
    <w:rsid w:val="003F5A1C"/>
    <w:rsid w:val="0040385E"/>
    <w:rsid w:val="004039C8"/>
    <w:rsid w:val="00407EAF"/>
    <w:rsid w:val="00414A87"/>
    <w:rsid w:val="0042133C"/>
    <w:rsid w:val="00422218"/>
    <w:rsid w:val="00425730"/>
    <w:rsid w:val="00427259"/>
    <w:rsid w:val="00430D7B"/>
    <w:rsid w:val="00432FEC"/>
    <w:rsid w:val="004375AA"/>
    <w:rsid w:val="00441629"/>
    <w:rsid w:val="00450701"/>
    <w:rsid w:val="004524E3"/>
    <w:rsid w:val="0045325E"/>
    <w:rsid w:val="00453C18"/>
    <w:rsid w:val="00454E47"/>
    <w:rsid w:val="0045526A"/>
    <w:rsid w:val="00457F86"/>
    <w:rsid w:val="00463E10"/>
    <w:rsid w:val="0046438B"/>
    <w:rsid w:val="00464820"/>
    <w:rsid w:val="00465404"/>
    <w:rsid w:val="0046688A"/>
    <w:rsid w:val="00467430"/>
    <w:rsid w:val="00470558"/>
    <w:rsid w:val="00471E4F"/>
    <w:rsid w:val="00471F67"/>
    <w:rsid w:val="004820FE"/>
    <w:rsid w:val="00482C62"/>
    <w:rsid w:val="004837D5"/>
    <w:rsid w:val="00484622"/>
    <w:rsid w:val="00491B34"/>
    <w:rsid w:val="00491EDA"/>
    <w:rsid w:val="0049709F"/>
    <w:rsid w:val="004A2FFA"/>
    <w:rsid w:val="004A4595"/>
    <w:rsid w:val="004A45D9"/>
    <w:rsid w:val="004C4871"/>
    <w:rsid w:val="004C72BB"/>
    <w:rsid w:val="004C7660"/>
    <w:rsid w:val="004D0709"/>
    <w:rsid w:val="004D4866"/>
    <w:rsid w:val="004D52CB"/>
    <w:rsid w:val="004D58EA"/>
    <w:rsid w:val="004D77CA"/>
    <w:rsid w:val="004E0A42"/>
    <w:rsid w:val="004E3EA0"/>
    <w:rsid w:val="0050007E"/>
    <w:rsid w:val="00500EDB"/>
    <w:rsid w:val="00505CE7"/>
    <w:rsid w:val="00510F05"/>
    <w:rsid w:val="0051157A"/>
    <w:rsid w:val="005214C2"/>
    <w:rsid w:val="005242BC"/>
    <w:rsid w:val="005275CF"/>
    <w:rsid w:val="00527CCC"/>
    <w:rsid w:val="00532FA0"/>
    <w:rsid w:val="00533A2C"/>
    <w:rsid w:val="0054457E"/>
    <w:rsid w:val="005614F6"/>
    <w:rsid w:val="0056442A"/>
    <w:rsid w:val="00575A91"/>
    <w:rsid w:val="00576431"/>
    <w:rsid w:val="00580D28"/>
    <w:rsid w:val="00584D02"/>
    <w:rsid w:val="00590294"/>
    <w:rsid w:val="00592C78"/>
    <w:rsid w:val="00594DF0"/>
    <w:rsid w:val="00595080"/>
    <w:rsid w:val="00595DAB"/>
    <w:rsid w:val="005A4E9F"/>
    <w:rsid w:val="005A70ED"/>
    <w:rsid w:val="005C413F"/>
    <w:rsid w:val="005D3019"/>
    <w:rsid w:val="005D3BF2"/>
    <w:rsid w:val="005D7B6A"/>
    <w:rsid w:val="005E4EE6"/>
    <w:rsid w:val="005E7BE2"/>
    <w:rsid w:val="005F4345"/>
    <w:rsid w:val="005F4AAA"/>
    <w:rsid w:val="00603F8A"/>
    <w:rsid w:val="00606932"/>
    <w:rsid w:val="006159A5"/>
    <w:rsid w:val="00616AF3"/>
    <w:rsid w:val="00617F1E"/>
    <w:rsid w:val="00621544"/>
    <w:rsid w:val="0064111E"/>
    <w:rsid w:val="00654208"/>
    <w:rsid w:val="00665F92"/>
    <w:rsid w:val="00666C11"/>
    <w:rsid w:val="00672BAE"/>
    <w:rsid w:val="00673B16"/>
    <w:rsid w:val="00684C72"/>
    <w:rsid w:val="00685339"/>
    <w:rsid w:val="00695F17"/>
    <w:rsid w:val="00696EF8"/>
    <w:rsid w:val="006A19F3"/>
    <w:rsid w:val="006A31E0"/>
    <w:rsid w:val="006A3EC6"/>
    <w:rsid w:val="006A6849"/>
    <w:rsid w:val="006A695E"/>
    <w:rsid w:val="006B0097"/>
    <w:rsid w:val="006B288D"/>
    <w:rsid w:val="006B44AC"/>
    <w:rsid w:val="006B6476"/>
    <w:rsid w:val="006B728A"/>
    <w:rsid w:val="006C444C"/>
    <w:rsid w:val="006D2B82"/>
    <w:rsid w:val="006F4220"/>
    <w:rsid w:val="006F6219"/>
    <w:rsid w:val="00701F71"/>
    <w:rsid w:val="007056D4"/>
    <w:rsid w:val="00707DB0"/>
    <w:rsid w:val="00710248"/>
    <w:rsid w:val="007138FD"/>
    <w:rsid w:val="00713FA0"/>
    <w:rsid w:val="007158B2"/>
    <w:rsid w:val="00717953"/>
    <w:rsid w:val="007217D3"/>
    <w:rsid w:val="0074558B"/>
    <w:rsid w:val="00756C18"/>
    <w:rsid w:val="00772B74"/>
    <w:rsid w:val="007755C4"/>
    <w:rsid w:val="007806FC"/>
    <w:rsid w:val="0078584E"/>
    <w:rsid w:val="007A204E"/>
    <w:rsid w:val="007A577E"/>
    <w:rsid w:val="007B3799"/>
    <w:rsid w:val="007B6850"/>
    <w:rsid w:val="007C682C"/>
    <w:rsid w:val="007C74C8"/>
    <w:rsid w:val="007D4F6C"/>
    <w:rsid w:val="007E7FFE"/>
    <w:rsid w:val="007F3C77"/>
    <w:rsid w:val="007F4626"/>
    <w:rsid w:val="007F65D2"/>
    <w:rsid w:val="00800B31"/>
    <w:rsid w:val="00811492"/>
    <w:rsid w:val="00811C9A"/>
    <w:rsid w:val="0081747F"/>
    <w:rsid w:val="008216B8"/>
    <w:rsid w:val="0082254E"/>
    <w:rsid w:val="008227D9"/>
    <w:rsid w:val="00825848"/>
    <w:rsid w:val="0083028A"/>
    <w:rsid w:val="00835D13"/>
    <w:rsid w:val="00837226"/>
    <w:rsid w:val="00841E67"/>
    <w:rsid w:val="00844787"/>
    <w:rsid w:val="00846A22"/>
    <w:rsid w:val="00853897"/>
    <w:rsid w:val="0085530F"/>
    <w:rsid w:val="00855868"/>
    <w:rsid w:val="00856CD5"/>
    <w:rsid w:val="00860E72"/>
    <w:rsid w:val="00860ED3"/>
    <w:rsid w:val="00862DFB"/>
    <w:rsid w:val="008636FA"/>
    <w:rsid w:val="00864C3D"/>
    <w:rsid w:val="00873066"/>
    <w:rsid w:val="00875BCD"/>
    <w:rsid w:val="00884F87"/>
    <w:rsid w:val="008913F8"/>
    <w:rsid w:val="00891F00"/>
    <w:rsid w:val="00892EA0"/>
    <w:rsid w:val="008A6DA9"/>
    <w:rsid w:val="008B52EB"/>
    <w:rsid w:val="008C1D01"/>
    <w:rsid w:val="008C537C"/>
    <w:rsid w:val="008C66D1"/>
    <w:rsid w:val="008E3E15"/>
    <w:rsid w:val="008F7C95"/>
    <w:rsid w:val="00904FE6"/>
    <w:rsid w:val="009139C7"/>
    <w:rsid w:val="00915CAA"/>
    <w:rsid w:val="0092338C"/>
    <w:rsid w:val="00923CA1"/>
    <w:rsid w:val="00933021"/>
    <w:rsid w:val="00934FB9"/>
    <w:rsid w:val="00941F3C"/>
    <w:rsid w:val="00942EF7"/>
    <w:rsid w:val="00944122"/>
    <w:rsid w:val="00945E6A"/>
    <w:rsid w:val="00950311"/>
    <w:rsid w:val="009524EE"/>
    <w:rsid w:val="00952DD9"/>
    <w:rsid w:val="00954559"/>
    <w:rsid w:val="00963290"/>
    <w:rsid w:val="0097030B"/>
    <w:rsid w:val="00981C7D"/>
    <w:rsid w:val="00991906"/>
    <w:rsid w:val="00992016"/>
    <w:rsid w:val="009971DF"/>
    <w:rsid w:val="009B0AF9"/>
    <w:rsid w:val="009B5A32"/>
    <w:rsid w:val="009B7B87"/>
    <w:rsid w:val="009C43D6"/>
    <w:rsid w:val="009C47BD"/>
    <w:rsid w:val="009D24B6"/>
    <w:rsid w:val="009F0890"/>
    <w:rsid w:val="009F2002"/>
    <w:rsid w:val="009F4A93"/>
    <w:rsid w:val="009F648D"/>
    <w:rsid w:val="00A03535"/>
    <w:rsid w:val="00A04E51"/>
    <w:rsid w:val="00A0575F"/>
    <w:rsid w:val="00A07EDC"/>
    <w:rsid w:val="00A106E9"/>
    <w:rsid w:val="00A21FE8"/>
    <w:rsid w:val="00A325FD"/>
    <w:rsid w:val="00A3477E"/>
    <w:rsid w:val="00A3507B"/>
    <w:rsid w:val="00A41482"/>
    <w:rsid w:val="00A42ECE"/>
    <w:rsid w:val="00A42EF9"/>
    <w:rsid w:val="00A464FD"/>
    <w:rsid w:val="00A6056C"/>
    <w:rsid w:val="00A61B48"/>
    <w:rsid w:val="00A62F12"/>
    <w:rsid w:val="00A63FA0"/>
    <w:rsid w:val="00A656BC"/>
    <w:rsid w:val="00A72FB7"/>
    <w:rsid w:val="00A91767"/>
    <w:rsid w:val="00AA3A2D"/>
    <w:rsid w:val="00AB60A5"/>
    <w:rsid w:val="00AC5DFF"/>
    <w:rsid w:val="00AC6AEF"/>
    <w:rsid w:val="00AD2031"/>
    <w:rsid w:val="00AD7483"/>
    <w:rsid w:val="00AF1DE6"/>
    <w:rsid w:val="00AF352F"/>
    <w:rsid w:val="00AF5692"/>
    <w:rsid w:val="00AF5A85"/>
    <w:rsid w:val="00B00840"/>
    <w:rsid w:val="00B05097"/>
    <w:rsid w:val="00B065B9"/>
    <w:rsid w:val="00B100B8"/>
    <w:rsid w:val="00B239DD"/>
    <w:rsid w:val="00B267F0"/>
    <w:rsid w:val="00B369C1"/>
    <w:rsid w:val="00B3713E"/>
    <w:rsid w:val="00B37A22"/>
    <w:rsid w:val="00B4568B"/>
    <w:rsid w:val="00B45AF9"/>
    <w:rsid w:val="00B4747E"/>
    <w:rsid w:val="00B515B2"/>
    <w:rsid w:val="00B51D9B"/>
    <w:rsid w:val="00B665B6"/>
    <w:rsid w:val="00B67F45"/>
    <w:rsid w:val="00B75FC1"/>
    <w:rsid w:val="00B768CE"/>
    <w:rsid w:val="00B81B98"/>
    <w:rsid w:val="00B83817"/>
    <w:rsid w:val="00BA1C1F"/>
    <w:rsid w:val="00BA1E21"/>
    <w:rsid w:val="00BA6177"/>
    <w:rsid w:val="00BA61A8"/>
    <w:rsid w:val="00BA7BEF"/>
    <w:rsid w:val="00BB7367"/>
    <w:rsid w:val="00BC77E7"/>
    <w:rsid w:val="00BD595F"/>
    <w:rsid w:val="00BD6384"/>
    <w:rsid w:val="00BE0AFF"/>
    <w:rsid w:val="00BF2BCD"/>
    <w:rsid w:val="00BF3A91"/>
    <w:rsid w:val="00C00695"/>
    <w:rsid w:val="00C025D5"/>
    <w:rsid w:val="00C1088B"/>
    <w:rsid w:val="00C14DDF"/>
    <w:rsid w:val="00C22176"/>
    <w:rsid w:val="00C26036"/>
    <w:rsid w:val="00C2792A"/>
    <w:rsid w:val="00C31BAB"/>
    <w:rsid w:val="00C33938"/>
    <w:rsid w:val="00C34E1D"/>
    <w:rsid w:val="00C520F9"/>
    <w:rsid w:val="00C52849"/>
    <w:rsid w:val="00C65F28"/>
    <w:rsid w:val="00C66278"/>
    <w:rsid w:val="00C6742D"/>
    <w:rsid w:val="00C70B0F"/>
    <w:rsid w:val="00C87A1D"/>
    <w:rsid w:val="00C93154"/>
    <w:rsid w:val="00C94D40"/>
    <w:rsid w:val="00C96056"/>
    <w:rsid w:val="00C971C1"/>
    <w:rsid w:val="00C9789D"/>
    <w:rsid w:val="00CA1FC4"/>
    <w:rsid w:val="00CA6691"/>
    <w:rsid w:val="00CB4793"/>
    <w:rsid w:val="00CC11F7"/>
    <w:rsid w:val="00CD048D"/>
    <w:rsid w:val="00CD102A"/>
    <w:rsid w:val="00CD232C"/>
    <w:rsid w:val="00CD2E9A"/>
    <w:rsid w:val="00CF14B1"/>
    <w:rsid w:val="00CF262D"/>
    <w:rsid w:val="00CF2FE4"/>
    <w:rsid w:val="00D021ED"/>
    <w:rsid w:val="00D10C92"/>
    <w:rsid w:val="00D111A9"/>
    <w:rsid w:val="00D143DF"/>
    <w:rsid w:val="00D2374F"/>
    <w:rsid w:val="00D25D55"/>
    <w:rsid w:val="00D26434"/>
    <w:rsid w:val="00D2769B"/>
    <w:rsid w:val="00D31E77"/>
    <w:rsid w:val="00D3495C"/>
    <w:rsid w:val="00D404D6"/>
    <w:rsid w:val="00D4395A"/>
    <w:rsid w:val="00D5506F"/>
    <w:rsid w:val="00D70210"/>
    <w:rsid w:val="00D729FE"/>
    <w:rsid w:val="00D73096"/>
    <w:rsid w:val="00D74B9E"/>
    <w:rsid w:val="00D828DF"/>
    <w:rsid w:val="00D84591"/>
    <w:rsid w:val="00D8482C"/>
    <w:rsid w:val="00D9158F"/>
    <w:rsid w:val="00D942E1"/>
    <w:rsid w:val="00DA0416"/>
    <w:rsid w:val="00DA16A6"/>
    <w:rsid w:val="00DA1E0A"/>
    <w:rsid w:val="00DA3695"/>
    <w:rsid w:val="00DB0AB8"/>
    <w:rsid w:val="00DB46DA"/>
    <w:rsid w:val="00DB6159"/>
    <w:rsid w:val="00DB61BA"/>
    <w:rsid w:val="00DC104A"/>
    <w:rsid w:val="00DC182F"/>
    <w:rsid w:val="00DC2B07"/>
    <w:rsid w:val="00DC738F"/>
    <w:rsid w:val="00DC7FD3"/>
    <w:rsid w:val="00DD3378"/>
    <w:rsid w:val="00DD3BBC"/>
    <w:rsid w:val="00DD400C"/>
    <w:rsid w:val="00DE0E2E"/>
    <w:rsid w:val="00DE10E6"/>
    <w:rsid w:val="00DE1AD8"/>
    <w:rsid w:val="00DF1638"/>
    <w:rsid w:val="00E03002"/>
    <w:rsid w:val="00E0329C"/>
    <w:rsid w:val="00E078D0"/>
    <w:rsid w:val="00E1453A"/>
    <w:rsid w:val="00E1660F"/>
    <w:rsid w:val="00E22588"/>
    <w:rsid w:val="00E35059"/>
    <w:rsid w:val="00E41231"/>
    <w:rsid w:val="00E428C1"/>
    <w:rsid w:val="00E519C9"/>
    <w:rsid w:val="00E53CD1"/>
    <w:rsid w:val="00E55F59"/>
    <w:rsid w:val="00E55FDD"/>
    <w:rsid w:val="00E56709"/>
    <w:rsid w:val="00E57824"/>
    <w:rsid w:val="00E6393C"/>
    <w:rsid w:val="00E63DB3"/>
    <w:rsid w:val="00E65C60"/>
    <w:rsid w:val="00E67707"/>
    <w:rsid w:val="00E72F95"/>
    <w:rsid w:val="00E95429"/>
    <w:rsid w:val="00EA2768"/>
    <w:rsid w:val="00EB273D"/>
    <w:rsid w:val="00EB3A2F"/>
    <w:rsid w:val="00EB69A4"/>
    <w:rsid w:val="00EC1A54"/>
    <w:rsid w:val="00EC7FF9"/>
    <w:rsid w:val="00ED2776"/>
    <w:rsid w:val="00ED4C77"/>
    <w:rsid w:val="00ED6304"/>
    <w:rsid w:val="00ED6689"/>
    <w:rsid w:val="00EE10DC"/>
    <w:rsid w:val="00EE396D"/>
    <w:rsid w:val="00F04BFD"/>
    <w:rsid w:val="00F1011A"/>
    <w:rsid w:val="00F11AE1"/>
    <w:rsid w:val="00F15255"/>
    <w:rsid w:val="00F174B5"/>
    <w:rsid w:val="00F2539C"/>
    <w:rsid w:val="00F3149D"/>
    <w:rsid w:val="00F3377E"/>
    <w:rsid w:val="00F358DF"/>
    <w:rsid w:val="00F35A1E"/>
    <w:rsid w:val="00F37854"/>
    <w:rsid w:val="00F42538"/>
    <w:rsid w:val="00F5426F"/>
    <w:rsid w:val="00F54DB0"/>
    <w:rsid w:val="00F574BF"/>
    <w:rsid w:val="00F729E3"/>
    <w:rsid w:val="00F73CAA"/>
    <w:rsid w:val="00F83F28"/>
    <w:rsid w:val="00F84509"/>
    <w:rsid w:val="00F84824"/>
    <w:rsid w:val="00F85F43"/>
    <w:rsid w:val="00F87151"/>
    <w:rsid w:val="00F9089B"/>
    <w:rsid w:val="00F92115"/>
    <w:rsid w:val="00FA4D28"/>
    <w:rsid w:val="00FA4FF0"/>
    <w:rsid w:val="00FA5405"/>
    <w:rsid w:val="00FA5B5B"/>
    <w:rsid w:val="00FB13B2"/>
    <w:rsid w:val="00FB3281"/>
    <w:rsid w:val="00FC3BD9"/>
    <w:rsid w:val="00FC4E50"/>
    <w:rsid w:val="00FC6579"/>
    <w:rsid w:val="00FC7DB0"/>
    <w:rsid w:val="00FD357C"/>
    <w:rsid w:val="00FD367C"/>
    <w:rsid w:val="00FD3962"/>
    <w:rsid w:val="00FE19F3"/>
    <w:rsid w:val="00FE51A0"/>
    <w:rsid w:val="00FE7723"/>
    <w:rsid w:val="00FF0E61"/>
    <w:rsid w:val="00FF45B2"/>
    <w:rsid w:val="00FF4BF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7030B"/>
    <w:pPr>
      <w:suppressAutoHyphens/>
      <w:spacing w:after="0" w:line="240" w:lineRule="auto"/>
    </w:pPr>
    <w:rPr>
      <w:rFonts w:ascii="Times New Roman" w:eastAsia="Times New Roman" w:hAnsi="Times New Roman" w:cs="Times New Roman"/>
      <w:kern w:val="2"/>
      <w:sz w:val="24"/>
      <w:szCs w:val="24"/>
      <w:lang w:eastAsia="ar-SA"/>
    </w:rPr>
  </w:style>
  <w:style w:type="paragraph" w:styleId="Nagwek1">
    <w:name w:val="heading 1"/>
    <w:basedOn w:val="Normalny"/>
    <w:next w:val="Normalny"/>
    <w:link w:val="Nagwek1Znak"/>
    <w:qFormat/>
    <w:rsid w:val="004A2FFA"/>
    <w:pPr>
      <w:keepNext/>
      <w:widowControl w:val="0"/>
      <w:shd w:val="clear" w:color="auto" w:fill="FFFFFF"/>
      <w:tabs>
        <w:tab w:val="num" w:pos="0"/>
      </w:tabs>
      <w:ind w:left="5"/>
      <w:outlineLvl w:val="0"/>
    </w:pPr>
    <w:rPr>
      <w:rFonts w:eastAsia="Andale Sans UI"/>
      <w:b/>
      <w:bCs/>
      <w:kern w:val="1"/>
      <w:sz w:val="14"/>
      <w:szCs w:val="14"/>
      <w:lang w:eastAsia="pl-PL"/>
    </w:rPr>
  </w:style>
  <w:style w:type="paragraph" w:styleId="Nagwek2">
    <w:name w:val="heading 2"/>
    <w:basedOn w:val="Normalny"/>
    <w:next w:val="Normalny"/>
    <w:link w:val="Nagwek2Znak"/>
    <w:qFormat/>
    <w:rsid w:val="004A2FFA"/>
    <w:pPr>
      <w:keepNext/>
      <w:widowControl w:val="0"/>
      <w:shd w:val="clear" w:color="auto" w:fill="FFFFFF"/>
      <w:tabs>
        <w:tab w:val="num" w:pos="0"/>
      </w:tabs>
      <w:ind w:left="10"/>
      <w:outlineLvl w:val="1"/>
    </w:pPr>
    <w:rPr>
      <w:rFonts w:eastAsia="Andale Sans UI"/>
      <w:b/>
      <w:bCs/>
      <w:kern w:val="1"/>
      <w:sz w:val="14"/>
      <w:szCs w:val="14"/>
      <w:lang w:eastAsia="pl-PL"/>
    </w:rPr>
  </w:style>
  <w:style w:type="paragraph" w:styleId="Nagwek3">
    <w:name w:val="heading 3"/>
    <w:basedOn w:val="Normalny"/>
    <w:next w:val="Normalny"/>
    <w:link w:val="Nagwek3Znak"/>
    <w:unhideWhenUsed/>
    <w:qFormat/>
    <w:rsid w:val="0097030B"/>
    <w:pPr>
      <w:keepNext/>
      <w:numPr>
        <w:ilvl w:val="2"/>
        <w:numId w:val="1"/>
      </w:numPr>
      <w:outlineLvl w:val="2"/>
    </w:pPr>
    <w:rPr>
      <w:rFonts w:ascii="Comic Sans MS" w:hAnsi="Comic Sans MS"/>
      <w:b/>
      <w:bCs/>
      <w:sz w:val="18"/>
      <w:szCs w:val="22"/>
    </w:rPr>
  </w:style>
  <w:style w:type="paragraph" w:styleId="Nagwek4">
    <w:name w:val="heading 4"/>
    <w:basedOn w:val="Normalny"/>
    <w:next w:val="Normalny"/>
    <w:link w:val="Nagwek4Znak"/>
    <w:qFormat/>
    <w:rsid w:val="004A2FFA"/>
    <w:pPr>
      <w:keepNext/>
      <w:widowControl w:val="0"/>
      <w:tabs>
        <w:tab w:val="num" w:pos="0"/>
      </w:tabs>
      <w:ind w:left="864" w:hanging="864"/>
      <w:jc w:val="center"/>
      <w:outlineLvl w:val="3"/>
    </w:pPr>
    <w:rPr>
      <w:rFonts w:eastAsia="Arial Unicode MS"/>
      <w:b/>
      <w:kern w:val="1"/>
      <w:sz w:val="28"/>
      <w:lang w:eastAsia="pl-PL"/>
    </w:rPr>
  </w:style>
  <w:style w:type="paragraph" w:styleId="Nagwek5">
    <w:name w:val="heading 5"/>
    <w:basedOn w:val="Normalny"/>
    <w:next w:val="Normalny"/>
    <w:link w:val="Nagwek5Znak"/>
    <w:qFormat/>
    <w:rsid w:val="004A2FFA"/>
    <w:pPr>
      <w:keepNext/>
      <w:widowControl w:val="0"/>
      <w:shd w:val="clear" w:color="auto" w:fill="FFFFFF"/>
      <w:tabs>
        <w:tab w:val="num" w:pos="0"/>
      </w:tabs>
      <w:ind w:right="140"/>
      <w:outlineLvl w:val="4"/>
    </w:pPr>
    <w:rPr>
      <w:rFonts w:eastAsia="Andale Sans UI" w:cs="Arial"/>
      <w:b/>
      <w:bCs/>
      <w:kern w:val="1"/>
      <w:sz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4A2FFA"/>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4A2FFA"/>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97030B"/>
    <w:rPr>
      <w:rFonts w:ascii="Comic Sans MS" w:eastAsia="Times New Roman" w:hAnsi="Comic Sans MS" w:cs="Times New Roman"/>
      <w:b/>
      <w:bCs/>
      <w:kern w:val="2"/>
      <w:sz w:val="18"/>
      <w:lang w:eastAsia="ar-SA"/>
    </w:rPr>
  </w:style>
  <w:style w:type="character" w:customStyle="1" w:styleId="Nagwek4Znak">
    <w:name w:val="Nagłówek 4 Znak"/>
    <w:basedOn w:val="Domylnaczcionkaakapitu"/>
    <w:link w:val="Nagwek4"/>
    <w:rsid w:val="004A2FFA"/>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4A2FFA"/>
    <w:rPr>
      <w:rFonts w:ascii="Times New Roman" w:eastAsia="Andale Sans UI" w:hAnsi="Times New Roman" w:cs="Arial"/>
      <w:b/>
      <w:bCs/>
      <w:kern w:val="1"/>
      <w:sz w:val="20"/>
      <w:szCs w:val="24"/>
      <w:shd w:val="clear" w:color="auto" w:fill="FFFFFF"/>
      <w:lang w:eastAsia="pl-PL"/>
    </w:rPr>
  </w:style>
  <w:style w:type="paragraph" w:customStyle="1" w:styleId="Skrconyadreszwrotny">
    <w:name w:val="Skrócony adres zwrotny"/>
    <w:basedOn w:val="Normalny"/>
    <w:rsid w:val="0097030B"/>
    <w:rPr>
      <w:szCs w:val="20"/>
    </w:rPr>
  </w:style>
  <w:style w:type="paragraph" w:customStyle="1" w:styleId="Lista-kontynuacja21">
    <w:name w:val="Lista - kontynuacja 21"/>
    <w:basedOn w:val="Normalny"/>
    <w:rsid w:val="0097030B"/>
    <w:pPr>
      <w:spacing w:after="160"/>
      <w:ind w:left="1080" w:hanging="360"/>
    </w:pPr>
    <w:rPr>
      <w:sz w:val="20"/>
      <w:szCs w:val="20"/>
    </w:rPr>
  </w:style>
  <w:style w:type="paragraph" w:customStyle="1" w:styleId="MD-IOtekstzwyky1">
    <w:name w:val="MD-IO tekst zwykły 1"/>
    <w:basedOn w:val="Normalny"/>
    <w:rsid w:val="0097030B"/>
    <w:pPr>
      <w:tabs>
        <w:tab w:val="left" w:pos="709"/>
      </w:tabs>
      <w:suppressAutoHyphens w:val="0"/>
      <w:spacing w:before="60" w:after="60"/>
      <w:jc w:val="both"/>
    </w:pPr>
    <w:rPr>
      <w:sz w:val="28"/>
      <w:szCs w:val="28"/>
    </w:rPr>
  </w:style>
  <w:style w:type="paragraph" w:styleId="Nagwek">
    <w:name w:val="header"/>
    <w:basedOn w:val="Normalny"/>
    <w:link w:val="NagwekZnak"/>
    <w:uiPriority w:val="99"/>
    <w:unhideWhenUsed/>
    <w:rsid w:val="0097030B"/>
    <w:pPr>
      <w:tabs>
        <w:tab w:val="center" w:pos="4536"/>
        <w:tab w:val="right" w:pos="9072"/>
      </w:tabs>
    </w:pPr>
  </w:style>
  <w:style w:type="character" w:customStyle="1" w:styleId="NagwekZnak">
    <w:name w:val="Nagłówek Znak"/>
    <w:basedOn w:val="Domylnaczcionkaakapitu"/>
    <w:link w:val="Nagwek"/>
    <w:uiPriority w:val="99"/>
    <w:rsid w:val="0097030B"/>
    <w:rPr>
      <w:rFonts w:ascii="Times New Roman" w:eastAsia="Times New Roman" w:hAnsi="Times New Roman" w:cs="Times New Roman"/>
      <w:kern w:val="2"/>
      <w:sz w:val="24"/>
      <w:szCs w:val="24"/>
      <w:lang w:eastAsia="ar-SA"/>
    </w:rPr>
  </w:style>
  <w:style w:type="paragraph" w:styleId="Stopka">
    <w:name w:val="footer"/>
    <w:basedOn w:val="Normalny"/>
    <w:link w:val="StopkaZnak"/>
    <w:unhideWhenUsed/>
    <w:rsid w:val="0097030B"/>
    <w:pPr>
      <w:tabs>
        <w:tab w:val="center" w:pos="4536"/>
        <w:tab w:val="right" w:pos="9072"/>
      </w:tabs>
    </w:pPr>
  </w:style>
  <w:style w:type="character" w:customStyle="1" w:styleId="StopkaZnak">
    <w:name w:val="Stopka Znak"/>
    <w:basedOn w:val="Domylnaczcionkaakapitu"/>
    <w:link w:val="Stopka"/>
    <w:rsid w:val="0097030B"/>
    <w:rPr>
      <w:rFonts w:ascii="Times New Roman" w:eastAsia="Times New Roman" w:hAnsi="Times New Roman" w:cs="Times New Roman"/>
      <w:kern w:val="2"/>
      <w:sz w:val="24"/>
      <w:szCs w:val="24"/>
      <w:lang w:eastAsia="ar-SA"/>
    </w:rPr>
  </w:style>
  <w:style w:type="paragraph" w:styleId="Tekstdymka">
    <w:name w:val="Balloon Text"/>
    <w:basedOn w:val="Normalny"/>
    <w:link w:val="TekstdymkaZnak"/>
    <w:uiPriority w:val="99"/>
    <w:semiHidden/>
    <w:unhideWhenUsed/>
    <w:rsid w:val="0097030B"/>
    <w:rPr>
      <w:rFonts w:ascii="Tahoma" w:hAnsi="Tahoma" w:cs="Tahoma"/>
      <w:sz w:val="16"/>
      <w:szCs w:val="16"/>
    </w:rPr>
  </w:style>
  <w:style w:type="character" w:customStyle="1" w:styleId="TekstdymkaZnak">
    <w:name w:val="Tekst dymka Znak"/>
    <w:basedOn w:val="Domylnaczcionkaakapitu"/>
    <w:link w:val="Tekstdymka"/>
    <w:uiPriority w:val="99"/>
    <w:semiHidden/>
    <w:rsid w:val="0097030B"/>
    <w:rPr>
      <w:rFonts w:ascii="Tahoma" w:eastAsia="Times New Roman" w:hAnsi="Tahoma" w:cs="Tahoma"/>
      <w:kern w:val="2"/>
      <w:sz w:val="16"/>
      <w:szCs w:val="16"/>
      <w:lang w:eastAsia="ar-SA"/>
    </w:rPr>
  </w:style>
  <w:style w:type="table" w:styleId="Tabela-Siatka">
    <w:name w:val="Table Grid"/>
    <w:basedOn w:val="Standardowy"/>
    <w:uiPriority w:val="59"/>
    <w:rsid w:val="004A2F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sw tekst"/>
    <w:basedOn w:val="Normalny"/>
    <w:link w:val="AkapitzlistZnak"/>
    <w:uiPriority w:val="34"/>
    <w:qFormat/>
    <w:rsid w:val="004A2FFA"/>
    <w:pPr>
      <w:ind w:left="720"/>
      <w:contextualSpacing/>
    </w:pPr>
  </w:style>
  <w:style w:type="character" w:customStyle="1" w:styleId="AkapitzlistZnak">
    <w:name w:val="Akapit z listą Znak"/>
    <w:aliases w:val="sw tekst Znak"/>
    <w:link w:val="Akapitzlist"/>
    <w:uiPriority w:val="34"/>
    <w:locked/>
    <w:rsid w:val="004A2FFA"/>
    <w:rPr>
      <w:rFonts w:ascii="Times New Roman" w:eastAsia="Times New Roman" w:hAnsi="Times New Roman" w:cs="Times New Roman"/>
      <w:kern w:val="2"/>
      <w:sz w:val="24"/>
      <w:szCs w:val="24"/>
      <w:lang w:eastAsia="ar-SA"/>
    </w:rPr>
  </w:style>
  <w:style w:type="paragraph" w:customStyle="1" w:styleId="AbsatzTableFormat">
    <w:name w:val="AbsatzTableFormat"/>
    <w:basedOn w:val="Normalny"/>
    <w:rsid w:val="004A2FFA"/>
    <w:pPr>
      <w:suppressAutoHyphens w:val="0"/>
    </w:pPr>
    <w:rPr>
      <w:kern w:val="1"/>
      <w:sz w:val="16"/>
      <w:szCs w:val="16"/>
      <w:lang w:eastAsia="pl-PL"/>
    </w:rPr>
  </w:style>
  <w:style w:type="paragraph" w:customStyle="1" w:styleId="Lista-kontynuacja24">
    <w:name w:val="Lista - kontynuacja 24"/>
    <w:basedOn w:val="Normalny"/>
    <w:rsid w:val="004A2FFA"/>
    <w:pPr>
      <w:widowControl w:val="0"/>
      <w:spacing w:after="120"/>
      <w:ind w:left="566"/>
    </w:pPr>
    <w:rPr>
      <w:rFonts w:eastAsia="Andale Sans UI"/>
    </w:rPr>
  </w:style>
  <w:style w:type="paragraph" w:customStyle="1" w:styleId="Standard">
    <w:name w:val="Standard"/>
    <w:rsid w:val="000A197A"/>
    <w:pPr>
      <w:suppressAutoHyphens/>
      <w:spacing w:after="0" w:line="240" w:lineRule="auto"/>
    </w:pPr>
    <w:rPr>
      <w:rFonts w:ascii="Times New Roman" w:eastAsia="Times New Roman" w:hAnsi="Times New Roman" w:cs="Times New Roman"/>
      <w:kern w:val="2"/>
      <w:sz w:val="24"/>
      <w:szCs w:val="24"/>
      <w:lang w:eastAsia="ar-SA"/>
    </w:rPr>
  </w:style>
  <w:style w:type="paragraph" w:styleId="Tytu">
    <w:name w:val="Title"/>
    <w:basedOn w:val="Standard"/>
    <w:next w:val="Podtytu"/>
    <w:link w:val="TytuZnak"/>
    <w:qFormat/>
    <w:rsid w:val="00422218"/>
    <w:pPr>
      <w:autoSpaceDN w:val="0"/>
      <w:jc w:val="center"/>
    </w:pPr>
    <w:rPr>
      <w:rFonts w:ascii="Garamond" w:hAnsi="Garamond"/>
      <w:b/>
      <w:kern w:val="3"/>
      <w:sz w:val="22"/>
      <w:szCs w:val="22"/>
      <w:lang w:eastAsia="zh-CN"/>
    </w:rPr>
  </w:style>
  <w:style w:type="character" w:customStyle="1" w:styleId="TytuZnak">
    <w:name w:val="Tytuł Znak"/>
    <w:basedOn w:val="Domylnaczcionkaakapitu"/>
    <w:link w:val="Tytu"/>
    <w:rsid w:val="00422218"/>
    <w:rPr>
      <w:rFonts w:ascii="Garamond" w:eastAsia="Times New Roman" w:hAnsi="Garamond" w:cs="Times New Roman"/>
      <w:b/>
      <w:kern w:val="3"/>
      <w:lang w:eastAsia="zh-CN"/>
    </w:rPr>
  </w:style>
  <w:style w:type="paragraph" w:styleId="Podtytu">
    <w:name w:val="Subtitle"/>
    <w:basedOn w:val="Normalny"/>
    <w:next w:val="Normalny"/>
    <w:link w:val="PodtytuZnak"/>
    <w:uiPriority w:val="11"/>
    <w:qFormat/>
    <w:rsid w:val="00422218"/>
    <w:pPr>
      <w:numPr>
        <w:ilvl w:val="1"/>
      </w:numPr>
    </w:pPr>
    <w:rPr>
      <w:rFonts w:asciiTheme="majorHAnsi" w:eastAsiaTheme="majorEastAsia" w:hAnsiTheme="majorHAnsi" w:cstheme="majorBidi"/>
      <w:i/>
      <w:iCs/>
      <w:color w:val="4F81BD" w:themeColor="accent1"/>
      <w:spacing w:val="15"/>
    </w:rPr>
  </w:style>
  <w:style w:type="character" w:customStyle="1" w:styleId="PodtytuZnak">
    <w:name w:val="Podtytuł Znak"/>
    <w:basedOn w:val="Domylnaczcionkaakapitu"/>
    <w:link w:val="Podtytu"/>
    <w:uiPriority w:val="11"/>
    <w:rsid w:val="00422218"/>
    <w:rPr>
      <w:rFonts w:asciiTheme="majorHAnsi" w:eastAsiaTheme="majorEastAsia" w:hAnsiTheme="majorHAnsi" w:cstheme="majorBidi"/>
      <w:i/>
      <w:iCs/>
      <w:color w:val="4F81BD" w:themeColor="accent1"/>
      <w:spacing w:val="15"/>
      <w:kern w:val="2"/>
      <w:sz w:val="24"/>
      <w:szCs w:val="24"/>
      <w:lang w:eastAsia="ar-SA"/>
    </w:rPr>
  </w:style>
  <w:style w:type="character" w:styleId="Odwoaniedokomentarza">
    <w:name w:val="annotation reference"/>
    <w:basedOn w:val="Domylnaczcionkaakapitu"/>
    <w:uiPriority w:val="99"/>
    <w:semiHidden/>
    <w:unhideWhenUsed/>
    <w:rsid w:val="003E0512"/>
    <w:rPr>
      <w:sz w:val="16"/>
      <w:szCs w:val="16"/>
    </w:rPr>
  </w:style>
  <w:style w:type="paragraph" w:styleId="Tekstkomentarza">
    <w:name w:val="annotation text"/>
    <w:basedOn w:val="Normalny"/>
    <w:link w:val="TekstkomentarzaZnak"/>
    <w:uiPriority w:val="99"/>
    <w:semiHidden/>
    <w:unhideWhenUsed/>
    <w:rsid w:val="003E0512"/>
    <w:rPr>
      <w:sz w:val="20"/>
      <w:szCs w:val="20"/>
    </w:rPr>
  </w:style>
  <w:style w:type="character" w:customStyle="1" w:styleId="TekstkomentarzaZnak">
    <w:name w:val="Tekst komentarza Znak"/>
    <w:basedOn w:val="Domylnaczcionkaakapitu"/>
    <w:link w:val="Tekstkomentarza"/>
    <w:uiPriority w:val="99"/>
    <w:semiHidden/>
    <w:rsid w:val="003E0512"/>
    <w:rPr>
      <w:rFonts w:ascii="Times New Roman" w:eastAsia="Times New Roman" w:hAnsi="Times New Roman" w:cs="Times New Roman"/>
      <w:kern w:val="2"/>
      <w:sz w:val="20"/>
      <w:szCs w:val="20"/>
      <w:lang w:eastAsia="ar-SA"/>
    </w:rPr>
  </w:style>
  <w:style w:type="paragraph" w:styleId="Tematkomentarza">
    <w:name w:val="annotation subject"/>
    <w:basedOn w:val="Tekstkomentarza"/>
    <w:next w:val="Tekstkomentarza"/>
    <w:link w:val="TematkomentarzaZnak"/>
    <w:uiPriority w:val="99"/>
    <w:semiHidden/>
    <w:unhideWhenUsed/>
    <w:rsid w:val="003E0512"/>
    <w:rPr>
      <w:b/>
      <w:bCs/>
    </w:rPr>
  </w:style>
  <w:style w:type="character" w:customStyle="1" w:styleId="TematkomentarzaZnak">
    <w:name w:val="Temat komentarza Znak"/>
    <w:basedOn w:val="TekstkomentarzaZnak"/>
    <w:link w:val="Tematkomentarza"/>
    <w:uiPriority w:val="99"/>
    <w:semiHidden/>
    <w:rsid w:val="003E0512"/>
    <w:rPr>
      <w:rFonts w:ascii="Times New Roman" w:eastAsia="Times New Roman" w:hAnsi="Times New Roman" w:cs="Times New Roman"/>
      <w:b/>
      <w:bCs/>
      <w:kern w:val="2"/>
      <w:sz w:val="20"/>
      <w:szCs w:val="20"/>
      <w:lang w:eastAsia="ar-SA"/>
    </w:rPr>
  </w:style>
  <w:style w:type="paragraph" w:customStyle="1" w:styleId="Domynie">
    <w:name w:val="Domy徑nie"/>
    <w:rsid w:val="00FC4E50"/>
    <w:pPr>
      <w:autoSpaceDE w:val="0"/>
      <w:autoSpaceDN w:val="0"/>
      <w:adjustRightInd w:val="0"/>
    </w:pPr>
    <w:rPr>
      <w:rFonts w:ascii="Calibri" w:eastAsia="Times New Roman" w:hAnsi="Lucida Sans Unicode" w:cs="Calibri"/>
      <w:kern w:val="1"/>
      <w:lang w:val="en-GB"/>
    </w:rPr>
  </w:style>
  <w:style w:type="paragraph" w:customStyle="1" w:styleId="Domylnie">
    <w:name w:val="Domy?lnie"/>
    <w:rsid w:val="008C66D1"/>
    <w:pPr>
      <w:autoSpaceDE w:val="0"/>
      <w:autoSpaceDN w:val="0"/>
      <w:adjustRightInd w:val="0"/>
      <w:spacing w:after="0" w:line="240" w:lineRule="auto"/>
    </w:pPr>
    <w:rPr>
      <w:rFonts w:ascii="Times New Roman" w:eastAsia="Times New Roman" w:hAnsi="Times New Roman" w:cs="Times New Roman"/>
      <w:sz w:val="24"/>
      <w:szCs w:val="24"/>
      <w:lang w:val="en-GB"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7030B"/>
    <w:pPr>
      <w:suppressAutoHyphens/>
      <w:spacing w:after="0" w:line="240" w:lineRule="auto"/>
    </w:pPr>
    <w:rPr>
      <w:rFonts w:ascii="Times New Roman" w:eastAsia="Times New Roman" w:hAnsi="Times New Roman" w:cs="Times New Roman"/>
      <w:kern w:val="2"/>
      <w:sz w:val="24"/>
      <w:szCs w:val="24"/>
      <w:lang w:eastAsia="ar-SA"/>
    </w:rPr>
  </w:style>
  <w:style w:type="paragraph" w:styleId="Nagwek1">
    <w:name w:val="heading 1"/>
    <w:basedOn w:val="Normalny"/>
    <w:next w:val="Normalny"/>
    <w:link w:val="Nagwek1Znak"/>
    <w:qFormat/>
    <w:rsid w:val="004A2FFA"/>
    <w:pPr>
      <w:keepNext/>
      <w:widowControl w:val="0"/>
      <w:shd w:val="clear" w:color="auto" w:fill="FFFFFF"/>
      <w:tabs>
        <w:tab w:val="num" w:pos="0"/>
      </w:tabs>
      <w:ind w:left="5"/>
      <w:outlineLvl w:val="0"/>
    </w:pPr>
    <w:rPr>
      <w:rFonts w:eastAsia="Andale Sans UI"/>
      <w:b/>
      <w:bCs/>
      <w:kern w:val="1"/>
      <w:sz w:val="14"/>
      <w:szCs w:val="14"/>
      <w:lang w:eastAsia="pl-PL"/>
    </w:rPr>
  </w:style>
  <w:style w:type="paragraph" w:styleId="Nagwek2">
    <w:name w:val="heading 2"/>
    <w:basedOn w:val="Normalny"/>
    <w:next w:val="Normalny"/>
    <w:link w:val="Nagwek2Znak"/>
    <w:qFormat/>
    <w:rsid w:val="004A2FFA"/>
    <w:pPr>
      <w:keepNext/>
      <w:widowControl w:val="0"/>
      <w:shd w:val="clear" w:color="auto" w:fill="FFFFFF"/>
      <w:tabs>
        <w:tab w:val="num" w:pos="0"/>
      </w:tabs>
      <w:ind w:left="10"/>
      <w:outlineLvl w:val="1"/>
    </w:pPr>
    <w:rPr>
      <w:rFonts w:eastAsia="Andale Sans UI"/>
      <w:b/>
      <w:bCs/>
      <w:kern w:val="1"/>
      <w:sz w:val="14"/>
      <w:szCs w:val="14"/>
      <w:lang w:eastAsia="pl-PL"/>
    </w:rPr>
  </w:style>
  <w:style w:type="paragraph" w:styleId="Nagwek3">
    <w:name w:val="heading 3"/>
    <w:basedOn w:val="Normalny"/>
    <w:next w:val="Normalny"/>
    <w:link w:val="Nagwek3Znak"/>
    <w:unhideWhenUsed/>
    <w:qFormat/>
    <w:rsid w:val="0097030B"/>
    <w:pPr>
      <w:keepNext/>
      <w:numPr>
        <w:ilvl w:val="2"/>
        <w:numId w:val="1"/>
      </w:numPr>
      <w:outlineLvl w:val="2"/>
    </w:pPr>
    <w:rPr>
      <w:rFonts w:ascii="Comic Sans MS" w:hAnsi="Comic Sans MS"/>
      <w:b/>
      <w:bCs/>
      <w:sz w:val="18"/>
      <w:szCs w:val="22"/>
    </w:rPr>
  </w:style>
  <w:style w:type="paragraph" w:styleId="Nagwek4">
    <w:name w:val="heading 4"/>
    <w:basedOn w:val="Normalny"/>
    <w:next w:val="Normalny"/>
    <w:link w:val="Nagwek4Znak"/>
    <w:qFormat/>
    <w:rsid w:val="004A2FFA"/>
    <w:pPr>
      <w:keepNext/>
      <w:widowControl w:val="0"/>
      <w:tabs>
        <w:tab w:val="num" w:pos="0"/>
      </w:tabs>
      <w:ind w:left="864" w:hanging="864"/>
      <w:jc w:val="center"/>
      <w:outlineLvl w:val="3"/>
    </w:pPr>
    <w:rPr>
      <w:rFonts w:eastAsia="Arial Unicode MS"/>
      <w:b/>
      <w:kern w:val="1"/>
      <w:sz w:val="28"/>
      <w:lang w:eastAsia="pl-PL"/>
    </w:rPr>
  </w:style>
  <w:style w:type="paragraph" w:styleId="Nagwek5">
    <w:name w:val="heading 5"/>
    <w:basedOn w:val="Normalny"/>
    <w:next w:val="Normalny"/>
    <w:link w:val="Nagwek5Znak"/>
    <w:qFormat/>
    <w:rsid w:val="004A2FFA"/>
    <w:pPr>
      <w:keepNext/>
      <w:widowControl w:val="0"/>
      <w:shd w:val="clear" w:color="auto" w:fill="FFFFFF"/>
      <w:tabs>
        <w:tab w:val="num" w:pos="0"/>
      </w:tabs>
      <w:ind w:right="140"/>
      <w:outlineLvl w:val="4"/>
    </w:pPr>
    <w:rPr>
      <w:rFonts w:eastAsia="Andale Sans UI" w:cs="Arial"/>
      <w:b/>
      <w:bCs/>
      <w:kern w:val="1"/>
      <w:sz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4A2FFA"/>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4A2FFA"/>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97030B"/>
    <w:rPr>
      <w:rFonts w:ascii="Comic Sans MS" w:eastAsia="Times New Roman" w:hAnsi="Comic Sans MS" w:cs="Times New Roman"/>
      <w:b/>
      <w:bCs/>
      <w:kern w:val="2"/>
      <w:sz w:val="18"/>
      <w:lang w:eastAsia="ar-SA"/>
    </w:rPr>
  </w:style>
  <w:style w:type="character" w:customStyle="1" w:styleId="Nagwek4Znak">
    <w:name w:val="Nagłówek 4 Znak"/>
    <w:basedOn w:val="Domylnaczcionkaakapitu"/>
    <w:link w:val="Nagwek4"/>
    <w:rsid w:val="004A2FFA"/>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4A2FFA"/>
    <w:rPr>
      <w:rFonts w:ascii="Times New Roman" w:eastAsia="Andale Sans UI" w:hAnsi="Times New Roman" w:cs="Arial"/>
      <w:b/>
      <w:bCs/>
      <w:kern w:val="1"/>
      <w:sz w:val="20"/>
      <w:szCs w:val="24"/>
      <w:shd w:val="clear" w:color="auto" w:fill="FFFFFF"/>
      <w:lang w:eastAsia="pl-PL"/>
    </w:rPr>
  </w:style>
  <w:style w:type="paragraph" w:customStyle="1" w:styleId="Skrconyadreszwrotny">
    <w:name w:val="Skrócony adres zwrotny"/>
    <w:basedOn w:val="Normalny"/>
    <w:rsid w:val="0097030B"/>
    <w:rPr>
      <w:szCs w:val="20"/>
    </w:rPr>
  </w:style>
  <w:style w:type="paragraph" w:customStyle="1" w:styleId="Lista-kontynuacja21">
    <w:name w:val="Lista - kontynuacja 21"/>
    <w:basedOn w:val="Normalny"/>
    <w:rsid w:val="0097030B"/>
    <w:pPr>
      <w:spacing w:after="160"/>
      <w:ind w:left="1080" w:hanging="360"/>
    </w:pPr>
    <w:rPr>
      <w:sz w:val="20"/>
      <w:szCs w:val="20"/>
    </w:rPr>
  </w:style>
  <w:style w:type="paragraph" w:customStyle="1" w:styleId="MD-IOtekstzwyky1">
    <w:name w:val="MD-IO tekst zwykły 1"/>
    <w:basedOn w:val="Normalny"/>
    <w:rsid w:val="0097030B"/>
    <w:pPr>
      <w:tabs>
        <w:tab w:val="left" w:pos="709"/>
      </w:tabs>
      <w:suppressAutoHyphens w:val="0"/>
      <w:spacing w:before="60" w:after="60"/>
      <w:jc w:val="both"/>
    </w:pPr>
    <w:rPr>
      <w:sz w:val="28"/>
      <w:szCs w:val="28"/>
    </w:rPr>
  </w:style>
  <w:style w:type="paragraph" w:styleId="Nagwek">
    <w:name w:val="header"/>
    <w:basedOn w:val="Normalny"/>
    <w:link w:val="NagwekZnak"/>
    <w:uiPriority w:val="99"/>
    <w:unhideWhenUsed/>
    <w:rsid w:val="0097030B"/>
    <w:pPr>
      <w:tabs>
        <w:tab w:val="center" w:pos="4536"/>
        <w:tab w:val="right" w:pos="9072"/>
      </w:tabs>
    </w:pPr>
  </w:style>
  <w:style w:type="character" w:customStyle="1" w:styleId="NagwekZnak">
    <w:name w:val="Nagłówek Znak"/>
    <w:basedOn w:val="Domylnaczcionkaakapitu"/>
    <w:link w:val="Nagwek"/>
    <w:uiPriority w:val="99"/>
    <w:rsid w:val="0097030B"/>
    <w:rPr>
      <w:rFonts w:ascii="Times New Roman" w:eastAsia="Times New Roman" w:hAnsi="Times New Roman" w:cs="Times New Roman"/>
      <w:kern w:val="2"/>
      <w:sz w:val="24"/>
      <w:szCs w:val="24"/>
      <w:lang w:eastAsia="ar-SA"/>
    </w:rPr>
  </w:style>
  <w:style w:type="paragraph" w:styleId="Stopka">
    <w:name w:val="footer"/>
    <w:basedOn w:val="Normalny"/>
    <w:link w:val="StopkaZnak"/>
    <w:unhideWhenUsed/>
    <w:rsid w:val="0097030B"/>
    <w:pPr>
      <w:tabs>
        <w:tab w:val="center" w:pos="4536"/>
        <w:tab w:val="right" w:pos="9072"/>
      </w:tabs>
    </w:pPr>
  </w:style>
  <w:style w:type="character" w:customStyle="1" w:styleId="StopkaZnak">
    <w:name w:val="Stopka Znak"/>
    <w:basedOn w:val="Domylnaczcionkaakapitu"/>
    <w:link w:val="Stopka"/>
    <w:rsid w:val="0097030B"/>
    <w:rPr>
      <w:rFonts w:ascii="Times New Roman" w:eastAsia="Times New Roman" w:hAnsi="Times New Roman" w:cs="Times New Roman"/>
      <w:kern w:val="2"/>
      <w:sz w:val="24"/>
      <w:szCs w:val="24"/>
      <w:lang w:eastAsia="ar-SA"/>
    </w:rPr>
  </w:style>
  <w:style w:type="paragraph" w:styleId="Tekstdymka">
    <w:name w:val="Balloon Text"/>
    <w:basedOn w:val="Normalny"/>
    <w:link w:val="TekstdymkaZnak"/>
    <w:uiPriority w:val="99"/>
    <w:semiHidden/>
    <w:unhideWhenUsed/>
    <w:rsid w:val="0097030B"/>
    <w:rPr>
      <w:rFonts w:ascii="Tahoma" w:hAnsi="Tahoma" w:cs="Tahoma"/>
      <w:sz w:val="16"/>
      <w:szCs w:val="16"/>
    </w:rPr>
  </w:style>
  <w:style w:type="character" w:customStyle="1" w:styleId="TekstdymkaZnak">
    <w:name w:val="Tekst dymka Znak"/>
    <w:basedOn w:val="Domylnaczcionkaakapitu"/>
    <w:link w:val="Tekstdymka"/>
    <w:uiPriority w:val="99"/>
    <w:semiHidden/>
    <w:rsid w:val="0097030B"/>
    <w:rPr>
      <w:rFonts w:ascii="Tahoma" w:eastAsia="Times New Roman" w:hAnsi="Tahoma" w:cs="Tahoma"/>
      <w:kern w:val="2"/>
      <w:sz w:val="16"/>
      <w:szCs w:val="16"/>
      <w:lang w:eastAsia="ar-SA"/>
    </w:rPr>
  </w:style>
  <w:style w:type="table" w:styleId="Tabela-Siatka">
    <w:name w:val="Table Grid"/>
    <w:basedOn w:val="Standardowy"/>
    <w:uiPriority w:val="59"/>
    <w:rsid w:val="004A2F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sw tekst"/>
    <w:basedOn w:val="Normalny"/>
    <w:link w:val="AkapitzlistZnak"/>
    <w:uiPriority w:val="34"/>
    <w:qFormat/>
    <w:rsid w:val="004A2FFA"/>
    <w:pPr>
      <w:ind w:left="720"/>
      <w:contextualSpacing/>
    </w:pPr>
  </w:style>
  <w:style w:type="character" w:customStyle="1" w:styleId="AkapitzlistZnak">
    <w:name w:val="Akapit z listą Znak"/>
    <w:aliases w:val="sw tekst Znak"/>
    <w:link w:val="Akapitzlist"/>
    <w:uiPriority w:val="34"/>
    <w:locked/>
    <w:rsid w:val="004A2FFA"/>
    <w:rPr>
      <w:rFonts w:ascii="Times New Roman" w:eastAsia="Times New Roman" w:hAnsi="Times New Roman" w:cs="Times New Roman"/>
      <w:kern w:val="2"/>
      <w:sz w:val="24"/>
      <w:szCs w:val="24"/>
      <w:lang w:eastAsia="ar-SA"/>
    </w:rPr>
  </w:style>
  <w:style w:type="paragraph" w:customStyle="1" w:styleId="AbsatzTableFormat">
    <w:name w:val="AbsatzTableFormat"/>
    <w:basedOn w:val="Normalny"/>
    <w:rsid w:val="004A2FFA"/>
    <w:pPr>
      <w:suppressAutoHyphens w:val="0"/>
    </w:pPr>
    <w:rPr>
      <w:kern w:val="1"/>
      <w:sz w:val="16"/>
      <w:szCs w:val="16"/>
      <w:lang w:eastAsia="pl-PL"/>
    </w:rPr>
  </w:style>
  <w:style w:type="paragraph" w:customStyle="1" w:styleId="Lista-kontynuacja24">
    <w:name w:val="Lista - kontynuacja 24"/>
    <w:basedOn w:val="Normalny"/>
    <w:rsid w:val="004A2FFA"/>
    <w:pPr>
      <w:widowControl w:val="0"/>
      <w:spacing w:after="120"/>
      <w:ind w:left="566"/>
    </w:pPr>
    <w:rPr>
      <w:rFonts w:eastAsia="Andale Sans UI"/>
    </w:rPr>
  </w:style>
  <w:style w:type="paragraph" w:customStyle="1" w:styleId="Standard">
    <w:name w:val="Standard"/>
    <w:rsid w:val="000A197A"/>
    <w:pPr>
      <w:suppressAutoHyphens/>
      <w:spacing w:after="0" w:line="240" w:lineRule="auto"/>
    </w:pPr>
    <w:rPr>
      <w:rFonts w:ascii="Times New Roman" w:eastAsia="Times New Roman" w:hAnsi="Times New Roman" w:cs="Times New Roman"/>
      <w:kern w:val="2"/>
      <w:sz w:val="24"/>
      <w:szCs w:val="24"/>
      <w:lang w:eastAsia="ar-SA"/>
    </w:rPr>
  </w:style>
  <w:style w:type="paragraph" w:styleId="Tytu">
    <w:name w:val="Title"/>
    <w:basedOn w:val="Standard"/>
    <w:next w:val="Podtytu"/>
    <w:link w:val="TytuZnak"/>
    <w:qFormat/>
    <w:rsid w:val="00422218"/>
    <w:pPr>
      <w:autoSpaceDN w:val="0"/>
      <w:jc w:val="center"/>
    </w:pPr>
    <w:rPr>
      <w:rFonts w:ascii="Garamond" w:hAnsi="Garamond"/>
      <w:b/>
      <w:kern w:val="3"/>
      <w:sz w:val="22"/>
      <w:szCs w:val="22"/>
      <w:lang w:eastAsia="zh-CN"/>
    </w:rPr>
  </w:style>
  <w:style w:type="character" w:customStyle="1" w:styleId="TytuZnak">
    <w:name w:val="Tytuł Znak"/>
    <w:basedOn w:val="Domylnaczcionkaakapitu"/>
    <w:link w:val="Tytu"/>
    <w:rsid w:val="00422218"/>
    <w:rPr>
      <w:rFonts w:ascii="Garamond" w:eastAsia="Times New Roman" w:hAnsi="Garamond" w:cs="Times New Roman"/>
      <w:b/>
      <w:kern w:val="3"/>
      <w:lang w:eastAsia="zh-CN"/>
    </w:rPr>
  </w:style>
  <w:style w:type="paragraph" w:styleId="Podtytu">
    <w:name w:val="Subtitle"/>
    <w:basedOn w:val="Normalny"/>
    <w:next w:val="Normalny"/>
    <w:link w:val="PodtytuZnak"/>
    <w:uiPriority w:val="11"/>
    <w:qFormat/>
    <w:rsid w:val="00422218"/>
    <w:pPr>
      <w:numPr>
        <w:ilvl w:val="1"/>
      </w:numPr>
    </w:pPr>
    <w:rPr>
      <w:rFonts w:asciiTheme="majorHAnsi" w:eastAsiaTheme="majorEastAsia" w:hAnsiTheme="majorHAnsi" w:cstheme="majorBidi"/>
      <w:i/>
      <w:iCs/>
      <w:color w:val="4F81BD" w:themeColor="accent1"/>
      <w:spacing w:val="15"/>
    </w:rPr>
  </w:style>
  <w:style w:type="character" w:customStyle="1" w:styleId="PodtytuZnak">
    <w:name w:val="Podtytuł Znak"/>
    <w:basedOn w:val="Domylnaczcionkaakapitu"/>
    <w:link w:val="Podtytu"/>
    <w:uiPriority w:val="11"/>
    <w:rsid w:val="00422218"/>
    <w:rPr>
      <w:rFonts w:asciiTheme="majorHAnsi" w:eastAsiaTheme="majorEastAsia" w:hAnsiTheme="majorHAnsi" w:cstheme="majorBidi"/>
      <w:i/>
      <w:iCs/>
      <w:color w:val="4F81BD" w:themeColor="accent1"/>
      <w:spacing w:val="15"/>
      <w:kern w:val="2"/>
      <w:sz w:val="24"/>
      <w:szCs w:val="24"/>
      <w:lang w:eastAsia="ar-SA"/>
    </w:rPr>
  </w:style>
  <w:style w:type="character" w:styleId="Odwoaniedokomentarza">
    <w:name w:val="annotation reference"/>
    <w:basedOn w:val="Domylnaczcionkaakapitu"/>
    <w:uiPriority w:val="99"/>
    <w:semiHidden/>
    <w:unhideWhenUsed/>
    <w:rsid w:val="003E0512"/>
    <w:rPr>
      <w:sz w:val="16"/>
      <w:szCs w:val="16"/>
    </w:rPr>
  </w:style>
  <w:style w:type="paragraph" w:styleId="Tekstkomentarza">
    <w:name w:val="annotation text"/>
    <w:basedOn w:val="Normalny"/>
    <w:link w:val="TekstkomentarzaZnak"/>
    <w:uiPriority w:val="99"/>
    <w:semiHidden/>
    <w:unhideWhenUsed/>
    <w:rsid w:val="003E0512"/>
    <w:rPr>
      <w:sz w:val="20"/>
      <w:szCs w:val="20"/>
    </w:rPr>
  </w:style>
  <w:style w:type="character" w:customStyle="1" w:styleId="TekstkomentarzaZnak">
    <w:name w:val="Tekst komentarza Znak"/>
    <w:basedOn w:val="Domylnaczcionkaakapitu"/>
    <w:link w:val="Tekstkomentarza"/>
    <w:uiPriority w:val="99"/>
    <w:semiHidden/>
    <w:rsid w:val="003E0512"/>
    <w:rPr>
      <w:rFonts w:ascii="Times New Roman" w:eastAsia="Times New Roman" w:hAnsi="Times New Roman" w:cs="Times New Roman"/>
      <w:kern w:val="2"/>
      <w:sz w:val="20"/>
      <w:szCs w:val="20"/>
      <w:lang w:eastAsia="ar-SA"/>
    </w:rPr>
  </w:style>
  <w:style w:type="paragraph" w:styleId="Tematkomentarza">
    <w:name w:val="annotation subject"/>
    <w:basedOn w:val="Tekstkomentarza"/>
    <w:next w:val="Tekstkomentarza"/>
    <w:link w:val="TematkomentarzaZnak"/>
    <w:uiPriority w:val="99"/>
    <w:semiHidden/>
    <w:unhideWhenUsed/>
    <w:rsid w:val="003E0512"/>
    <w:rPr>
      <w:b/>
      <w:bCs/>
    </w:rPr>
  </w:style>
  <w:style w:type="character" w:customStyle="1" w:styleId="TematkomentarzaZnak">
    <w:name w:val="Temat komentarza Znak"/>
    <w:basedOn w:val="TekstkomentarzaZnak"/>
    <w:link w:val="Tematkomentarza"/>
    <w:uiPriority w:val="99"/>
    <w:semiHidden/>
    <w:rsid w:val="003E0512"/>
    <w:rPr>
      <w:rFonts w:ascii="Times New Roman" w:eastAsia="Times New Roman" w:hAnsi="Times New Roman" w:cs="Times New Roman"/>
      <w:b/>
      <w:bCs/>
      <w:kern w:val="2"/>
      <w:sz w:val="20"/>
      <w:szCs w:val="20"/>
      <w:lang w:eastAsia="ar-SA"/>
    </w:rPr>
  </w:style>
  <w:style w:type="paragraph" w:customStyle="1" w:styleId="Domynie">
    <w:name w:val="Domy徑nie"/>
    <w:rsid w:val="00FC4E50"/>
    <w:pPr>
      <w:autoSpaceDE w:val="0"/>
      <w:autoSpaceDN w:val="0"/>
      <w:adjustRightInd w:val="0"/>
    </w:pPr>
    <w:rPr>
      <w:rFonts w:ascii="Calibri" w:eastAsia="Times New Roman" w:hAnsi="Lucida Sans Unicode" w:cs="Calibri"/>
      <w:kern w:val="1"/>
      <w:lang w:val="en-GB"/>
    </w:rPr>
  </w:style>
  <w:style w:type="paragraph" w:customStyle="1" w:styleId="Domylnie">
    <w:name w:val="Domy?lnie"/>
    <w:rsid w:val="008C66D1"/>
    <w:pPr>
      <w:autoSpaceDE w:val="0"/>
      <w:autoSpaceDN w:val="0"/>
      <w:adjustRightInd w:val="0"/>
      <w:spacing w:after="0" w:line="240" w:lineRule="auto"/>
    </w:pPr>
    <w:rPr>
      <w:rFonts w:ascii="Times New Roman" w:eastAsia="Times New Roman" w:hAnsi="Times New Roman" w:cs="Times New Roman"/>
      <w:sz w:val="24"/>
      <w:szCs w:val="24"/>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2842777">
      <w:bodyDiv w:val="1"/>
      <w:marLeft w:val="0"/>
      <w:marRight w:val="0"/>
      <w:marTop w:val="0"/>
      <w:marBottom w:val="0"/>
      <w:divBdr>
        <w:top w:val="none" w:sz="0" w:space="0" w:color="auto"/>
        <w:left w:val="none" w:sz="0" w:space="0" w:color="auto"/>
        <w:bottom w:val="none" w:sz="0" w:space="0" w:color="auto"/>
        <w:right w:val="none" w:sz="0" w:space="0" w:color="auto"/>
      </w:divBdr>
    </w:div>
    <w:div w:id="605386543">
      <w:bodyDiv w:val="1"/>
      <w:marLeft w:val="0"/>
      <w:marRight w:val="0"/>
      <w:marTop w:val="0"/>
      <w:marBottom w:val="0"/>
      <w:divBdr>
        <w:top w:val="none" w:sz="0" w:space="0" w:color="auto"/>
        <w:left w:val="none" w:sz="0" w:space="0" w:color="auto"/>
        <w:bottom w:val="none" w:sz="0" w:space="0" w:color="auto"/>
        <w:right w:val="none" w:sz="0" w:space="0" w:color="auto"/>
      </w:divBdr>
    </w:div>
    <w:div w:id="657417901">
      <w:bodyDiv w:val="1"/>
      <w:marLeft w:val="0"/>
      <w:marRight w:val="0"/>
      <w:marTop w:val="0"/>
      <w:marBottom w:val="0"/>
      <w:divBdr>
        <w:top w:val="none" w:sz="0" w:space="0" w:color="auto"/>
        <w:left w:val="none" w:sz="0" w:space="0" w:color="auto"/>
        <w:bottom w:val="none" w:sz="0" w:space="0" w:color="auto"/>
        <w:right w:val="none" w:sz="0" w:space="0" w:color="auto"/>
      </w:divBdr>
    </w:div>
    <w:div w:id="950090565">
      <w:bodyDiv w:val="1"/>
      <w:marLeft w:val="0"/>
      <w:marRight w:val="0"/>
      <w:marTop w:val="0"/>
      <w:marBottom w:val="0"/>
      <w:divBdr>
        <w:top w:val="none" w:sz="0" w:space="0" w:color="auto"/>
        <w:left w:val="none" w:sz="0" w:space="0" w:color="auto"/>
        <w:bottom w:val="none" w:sz="0" w:space="0" w:color="auto"/>
        <w:right w:val="none" w:sz="0" w:space="0" w:color="auto"/>
      </w:divBdr>
    </w:div>
    <w:div w:id="1077557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761B0C-082D-4DF8-9B4B-F053F30EBA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9441</Words>
  <Characters>56648</Characters>
  <Application>Microsoft Office Word</Application>
  <DocSecurity>0</DocSecurity>
  <Lines>472</Lines>
  <Paragraphs>131</Paragraphs>
  <ScaleCrop>false</ScaleCrop>
  <HeadingPairs>
    <vt:vector size="2" baseType="variant">
      <vt:variant>
        <vt:lpstr>Tytuł</vt:lpstr>
      </vt:variant>
      <vt:variant>
        <vt:i4>1</vt:i4>
      </vt:variant>
    </vt:vector>
  </HeadingPairs>
  <TitlesOfParts>
    <vt:vector size="1" baseType="lpstr">
      <vt:lpstr/>
    </vt:vector>
  </TitlesOfParts>
  <LinksUpToDate>false</LinksUpToDate>
  <CharactersWithSpaces>65958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2018-07-12T11:17:00Z</dcterms:created>
  <dcterms:modified xsi:type="dcterms:W3CDTF">2018-07-12T11:17:00Z</dcterms:modified>
</cp:coreProperties>
</file>