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218" w:rsidRPr="00FF4BF5" w:rsidRDefault="00422218" w:rsidP="00422218">
      <w:pPr>
        <w:pStyle w:val="Tytu"/>
        <w:spacing w:line="288" w:lineRule="auto"/>
        <w:rPr>
          <w:rFonts w:ascii="Century Gothic" w:hAnsi="Century Gothic"/>
          <w:sz w:val="20"/>
          <w:szCs w:val="20"/>
        </w:rPr>
      </w:pPr>
      <w:r w:rsidRPr="00FF4BF5">
        <w:rPr>
          <w:rFonts w:ascii="Century Gothic" w:hAnsi="Century Gothic"/>
          <w:sz w:val="20"/>
          <w:szCs w:val="20"/>
        </w:rPr>
        <w:t>OPIS PRZEDMIOTU ZAMÓWIENIA</w:t>
      </w:r>
    </w:p>
    <w:p w:rsidR="00D729FE" w:rsidRDefault="0074558B" w:rsidP="009524EE">
      <w:pPr>
        <w:pStyle w:val="Skrconyadreszwrotny"/>
        <w:spacing w:before="100" w:beforeAutospacing="1" w:after="100" w:afterAutospacing="1" w:line="288" w:lineRule="auto"/>
        <w:jc w:val="center"/>
        <w:rPr>
          <w:rFonts w:ascii="Century Gothic" w:hAnsi="Century Gothic"/>
          <w:b/>
          <w:sz w:val="20"/>
        </w:rPr>
      </w:pPr>
      <w:r>
        <w:rPr>
          <w:rFonts w:ascii="Century Gothic" w:hAnsi="Century Gothic"/>
          <w:b/>
          <w:sz w:val="20"/>
        </w:rPr>
        <w:t>Część</w:t>
      </w:r>
      <w:r w:rsidR="00C94D40">
        <w:rPr>
          <w:rFonts w:ascii="Century Gothic" w:hAnsi="Century Gothic"/>
          <w:b/>
          <w:sz w:val="20"/>
        </w:rPr>
        <w:t xml:space="preserve"> nr</w:t>
      </w:r>
      <w:r w:rsidR="00D729FE" w:rsidRPr="00D729FE">
        <w:rPr>
          <w:rFonts w:ascii="Century Gothic" w:hAnsi="Century Gothic"/>
          <w:b/>
          <w:sz w:val="20"/>
        </w:rPr>
        <w:t xml:space="preserve"> 1 - Infuzja OIOM</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Uwagi i objaśnienia:</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 określonych warunkach liczbowych ( „&gt;=”  lub „=&lt;” ) są warunkami granicznymi, których niespełnienie spowoduje odrzucenie oferty. Wartość podana przy znaku  „=” oznacza wartość wymaganą.</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Brak odpowiedzi w przypadku pozostałych warunków, punktowany będzie jako 0.</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Wykonawca zobowiązany jest do podania parametrów w jednostkach wskazanych w niniejszym opisie,</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 xml:space="preserve">Wykonawca gwarantuje niniejszym, że sprzęt jest fabrycznie nowy (rok produkcji 2018) nie jest </w:t>
      </w:r>
      <w:proofErr w:type="spellStart"/>
      <w:r w:rsidRPr="00FF4BF5">
        <w:rPr>
          <w:rFonts w:ascii="Century Gothic" w:hAnsi="Century Gothic"/>
          <w:sz w:val="20"/>
        </w:rPr>
        <w:t>rekondycjonowany</w:t>
      </w:r>
      <w:proofErr w:type="spellEnd"/>
      <w:r w:rsidRPr="00FF4BF5">
        <w:rPr>
          <w:rFonts w:ascii="Century Gothic" w:hAnsi="Century Gothic"/>
          <w:sz w:val="20"/>
        </w:rPr>
        <w:t>, używany, powystawowy,  jest kompletny i do jego uruchomienia oraz stosowania zgodnie z przeznaczeniem nie jest konieczny zakup dodatkowych elementów i akcesoriów.</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Nazwa i typ: .............................................................</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Producent: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Kraj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Rok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Klasa wyrobu medycznego: ...............</w:t>
      </w:r>
    </w:p>
    <w:p w:rsidR="00A07EDC" w:rsidRPr="00A07EDC" w:rsidRDefault="0074558B" w:rsidP="0074558B">
      <w:pPr>
        <w:suppressAutoHyphens w:val="0"/>
        <w:spacing w:after="200" w:line="276" w:lineRule="auto"/>
        <w:rPr>
          <w:rFonts w:ascii="Century Gothic" w:hAnsi="Century Gothic"/>
          <w:sz w:val="20"/>
        </w:rPr>
      </w:pPr>
      <w:r>
        <w:rPr>
          <w:rFonts w:ascii="Century Gothic" w:hAnsi="Century Gothic"/>
          <w:sz w:val="20"/>
        </w:rPr>
        <w:br w:type="page"/>
      </w:r>
    </w:p>
    <w:tbl>
      <w:tblPr>
        <w:tblW w:w="14074" w:type="dxa"/>
        <w:tblInd w:w="70" w:type="dxa"/>
        <w:tblCellMar>
          <w:left w:w="70" w:type="dxa"/>
          <w:right w:w="70" w:type="dxa"/>
        </w:tblCellMar>
        <w:tblLook w:val="04A0" w:firstRow="1" w:lastRow="0" w:firstColumn="1" w:lastColumn="0" w:noHBand="0" w:noVBand="1"/>
      </w:tblPr>
      <w:tblGrid>
        <w:gridCol w:w="207"/>
        <w:gridCol w:w="502"/>
        <w:gridCol w:w="5528"/>
        <w:gridCol w:w="851"/>
        <w:gridCol w:w="162"/>
        <w:gridCol w:w="2389"/>
        <w:gridCol w:w="4435"/>
      </w:tblGrid>
      <w:tr w:rsidR="00A07EDC" w:rsidRPr="00FF4BF5" w:rsidTr="008C537C">
        <w:trPr>
          <w:trHeight w:val="640"/>
        </w:trPr>
        <w:tc>
          <w:tcPr>
            <w:tcW w:w="14074" w:type="dxa"/>
            <w:gridSpan w:val="7"/>
            <w:tcBorders>
              <w:top w:val="single" w:sz="4" w:space="0" w:color="auto"/>
              <w:left w:val="single" w:sz="4" w:space="0" w:color="auto"/>
              <w:bottom w:val="nil"/>
              <w:right w:val="single" w:sz="4" w:space="0" w:color="auto"/>
            </w:tcBorders>
            <w:vAlign w:val="center"/>
          </w:tcPr>
          <w:p w:rsidR="00A07EDC" w:rsidRPr="003C130B" w:rsidRDefault="00A07EDC" w:rsidP="008C537C">
            <w:pPr>
              <w:rPr>
                <w:rFonts w:ascii="Century Gothic" w:hAnsi="Century Gothic" w:cs="Calibri"/>
                <w:lang w:eastAsia="pl-PL"/>
              </w:rPr>
            </w:pPr>
            <w:r>
              <w:rPr>
                <w:rFonts w:ascii="Century Gothic" w:hAnsi="Century Gothic" w:cs="Calibri"/>
                <w:lang w:eastAsia="pl-PL"/>
              </w:rPr>
              <w:lastRenderedPageBreak/>
              <w:t> </w:t>
            </w:r>
            <w:r w:rsidRPr="00FF4BF5">
              <w:rPr>
                <w:rFonts w:ascii="Century Gothic" w:hAnsi="Century Gothic"/>
                <w:b/>
                <w:sz w:val="20"/>
                <w:szCs w:val="20"/>
                <w:lang w:eastAsia="pl-PL"/>
              </w:rPr>
              <w:t>ZAMÓWIENIE PODSTAWOWE:</w:t>
            </w:r>
          </w:p>
          <w:p w:rsidR="00A07EDC" w:rsidRPr="00DB32A3" w:rsidRDefault="00A07EDC" w:rsidP="008C537C">
            <w:pPr>
              <w:ind w:hanging="129"/>
              <w:rPr>
                <w:rFonts w:ascii="Century Gothic" w:hAnsi="Century Gothic"/>
                <w:b/>
                <w:sz w:val="20"/>
                <w:szCs w:val="20"/>
                <w:lang w:eastAsia="pl-PL"/>
              </w:rPr>
            </w:pPr>
          </w:p>
        </w:tc>
      </w:tr>
      <w:tr w:rsidR="00A07EDC" w:rsidRPr="00FF4BF5" w:rsidTr="008C537C">
        <w:trPr>
          <w:trHeight w:val="705"/>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rPr>
                <w:rFonts w:ascii="Century Gothic" w:hAnsi="Century Gothic" w:cs="Calibri"/>
                <w:sz w:val="20"/>
                <w:szCs w:val="20"/>
                <w:lang w:eastAsia="pl-PL"/>
              </w:rPr>
            </w:pPr>
            <w:r>
              <w:rPr>
                <w:rFonts w:ascii="Century Gothic" w:hAnsi="Century Gothic" w:cs="Calibri"/>
                <w:sz w:val="20"/>
                <w:szCs w:val="20"/>
                <w:lang w:eastAsia="pl-PL"/>
              </w:rPr>
              <w:t>Lp.</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rPr>
                <w:rFonts w:ascii="Century Gothic" w:hAnsi="Century Gothic" w:cs="Calibri"/>
                <w:sz w:val="20"/>
                <w:szCs w:val="20"/>
                <w:lang w:eastAsia="pl-PL"/>
              </w:rPr>
            </w:pPr>
            <w:r w:rsidRPr="00FF4BF5">
              <w:rPr>
                <w:rFonts w:ascii="Century Gothic" w:hAnsi="Century Gothic" w:cs="Calibri"/>
                <w:sz w:val="20"/>
                <w:szCs w:val="20"/>
                <w:lang w:eastAsia="pl-PL"/>
              </w:rPr>
              <w:t>Przedmiot</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Liczba sztuk</w:t>
            </w:r>
          </w:p>
        </w:tc>
        <w:tc>
          <w:tcPr>
            <w:tcW w:w="2551" w:type="dxa"/>
            <w:gridSpan w:val="2"/>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DB32A3">
              <w:rPr>
                <w:rFonts w:ascii="Century Gothic" w:hAnsi="Century Gothic" w:cs="Calibri"/>
                <w:sz w:val="20"/>
                <w:szCs w:val="20"/>
                <w:lang w:eastAsia="pl-PL"/>
              </w:rPr>
              <w:t>Cena jednostkowa brutto sprzętu (w zł)</w:t>
            </w:r>
          </w:p>
        </w:tc>
        <w:tc>
          <w:tcPr>
            <w:tcW w:w="4435"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Cena brutto</w:t>
            </w:r>
            <w:r>
              <w:rPr>
                <w:rFonts w:ascii="Century Gothic" w:hAnsi="Century Gothic" w:cs="Calibri"/>
                <w:sz w:val="20"/>
                <w:szCs w:val="20"/>
                <w:lang w:eastAsia="pl-PL"/>
              </w:rPr>
              <w:t xml:space="preserve"> sprzętu w pozycjach</w:t>
            </w:r>
            <w:r w:rsidRPr="00FF4BF5">
              <w:rPr>
                <w:rFonts w:ascii="Century Gothic" w:hAnsi="Century Gothic" w:cs="Calibri"/>
                <w:sz w:val="20"/>
                <w:szCs w:val="20"/>
                <w:lang w:eastAsia="pl-PL"/>
              </w:rPr>
              <w:t xml:space="preserve"> (w zł)</w:t>
            </w:r>
          </w:p>
        </w:tc>
      </w:tr>
      <w:tr w:rsidR="00665F92" w:rsidRPr="00FF4BF5" w:rsidTr="00665F92">
        <w:trPr>
          <w:trHeight w:val="624"/>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13867" w:type="dxa"/>
            <w:gridSpan w:val="6"/>
            <w:tcBorders>
              <w:top w:val="nil"/>
              <w:left w:val="single" w:sz="4" w:space="0" w:color="auto"/>
              <w:bottom w:val="single" w:sz="4" w:space="0" w:color="auto"/>
              <w:right w:val="single" w:sz="4" w:space="0" w:color="auto"/>
            </w:tcBorders>
            <w:vAlign w:val="center"/>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hideMark/>
          </w:tcPr>
          <w:p w:rsidR="00665F92" w:rsidRPr="00FF4BF5" w:rsidRDefault="00665F92"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w:t>
            </w:r>
          </w:p>
        </w:tc>
        <w:tc>
          <w:tcPr>
            <w:tcW w:w="5528" w:type="dxa"/>
            <w:tcBorders>
              <w:top w:val="nil"/>
              <w:left w:val="single" w:sz="4" w:space="0" w:color="auto"/>
              <w:bottom w:val="single" w:sz="4" w:space="0" w:color="auto"/>
              <w:right w:val="single" w:sz="4" w:space="0" w:color="auto"/>
            </w:tcBorders>
            <w:shd w:val="clear" w:color="auto" w:fill="auto"/>
            <w:vAlign w:val="center"/>
            <w:hideMark/>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665F92">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2551" w:type="dxa"/>
            <w:gridSpan w:val="2"/>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2.</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3.</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4.</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5.</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45526A" w:rsidRDefault="00665F92" w:rsidP="00665F92">
            <w:pPr>
              <w:rPr>
                <w:rFonts w:ascii="Century Gothic" w:hAnsi="Century Gothic"/>
                <w:sz w:val="20"/>
                <w:szCs w:val="20"/>
                <w:highlight w:val="yellow"/>
              </w:rPr>
            </w:pPr>
            <w:r w:rsidRPr="0045526A">
              <w:rPr>
                <w:rFonts w:ascii="Century Gothic" w:hAnsi="Century Gothic"/>
                <w:sz w:val="20"/>
                <w:szCs w:val="20"/>
                <w:highlight w:val="yellow"/>
              </w:rPr>
              <w:t>Stacja dokująca 6 lub 8 COM</w:t>
            </w:r>
          </w:p>
        </w:tc>
        <w:tc>
          <w:tcPr>
            <w:tcW w:w="851" w:type="dxa"/>
            <w:tcBorders>
              <w:top w:val="nil"/>
              <w:left w:val="nil"/>
              <w:bottom w:val="single" w:sz="4" w:space="0" w:color="auto"/>
              <w:right w:val="single" w:sz="4" w:space="0" w:color="auto"/>
            </w:tcBorders>
            <w:shd w:val="clear" w:color="auto" w:fill="auto"/>
            <w:vAlign w:val="center"/>
          </w:tcPr>
          <w:p w:rsidR="00665F92" w:rsidRPr="0045526A" w:rsidRDefault="0045526A" w:rsidP="00665F92">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6.</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7.</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8.</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Zasilacz UPS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9.</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Tester bezpieczeństwa elektrycznego</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10.</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Stacja do pracy pomp w środowisku MRI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single" w:sz="4" w:space="0" w:color="auto"/>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11.</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Pompy TCI-TIVA</w:t>
            </w:r>
          </w:p>
        </w:tc>
        <w:tc>
          <w:tcPr>
            <w:tcW w:w="851"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A07EDC" w:rsidRPr="00FF4BF5" w:rsidTr="008C537C">
        <w:trPr>
          <w:trHeight w:val="737"/>
        </w:trPr>
        <w:tc>
          <w:tcPr>
            <w:tcW w:w="207" w:type="dxa"/>
            <w:tcBorders>
              <w:top w:val="nil"/>
              <w:left w:val="single" w:sz="4" w:space="0" w:color="auto"/>
              <w:bottom w:val="nil"/>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bottom w:val="nil"/>
              <w:right w:val="nil"/>
            </w:tcBorders>
          </w:tcPr>
          <w:p w:rsidR="00A07EDC" w:rsidRPr="00FF4BF5" w:rsidRDefault="00A07EDC" w:rsidP="008C537C">
            <w:pPr>
              <w:rPr>
                <w:rFonts w:ascii="Century Gothic" w:hAnsi="Century Gothic"/>
                <w:sz w:val="20"/>
              </w:rPr>
            </w:pPr>
          </w:p>
        </w:tc>
        <w:tc>
          <w:tcPr>
            <w:tcW w:w="5528" w:type="dxa"/>
            <w:tcBorders>
              <w:top w:val="nil"/>
              <w:left w:val="nil"/>
              <w:bottom w:val="nil"/>
              <w:right w:val="single" w:sz="4" w:space="0" w:color="auto"/>
            </w:tcBorders>
            <w:shd w:val="clear" w:color="auto" w:fill="auto"/>
            <w:vAlign w:val="center"/>
          </w:tcPr>
          <w:p w:rsidR="00A07EDC" w:rsidRPr="00FF4BF5" w:rsidRDefault="00A07EDC" w:rsidP="008C537C">
            <w:pPr>
              <w:rPr>
                <w:rFonts w:ascii="Century Gothic" w:hAnsi="Century Gothic"/>
                <w:sz w:val="20"/>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bCs/>
                <w:sz w:val="20"/>
                <w:szCs w:val="20"/>
                <w:lang w:eastAsia="pl-PL"/>
              </w:rPr>
            </w:pPr>
            <w:r w:rsidRPr="003C130B">
              <w:rPr>
                <w:rFonts w:ascii="Century Gothic" w:hAnsi="Century Gothic" w:cs="Calibri"/>
                <w:b/>
                <w:bCs/>
                <w:sz w:val="20"/>
                <w:szCs w:val="20"/>
                <w:lang w:eastAsia="pl-PL"/>
              </w:rPr>
              <w:t>A:</w:t>
            </w:r>
            <w:r>
              <w:rPr>
                <w:rFonts w:ascii="Century Gothic" w:hAnsi="Century Gothic" w:cs="Calibri"/>
                <w:bCs/>
                <w:sz w:val="20"/>
                <w:szCs w:val="20"/>
                <w:lang w:eastAsia="pl-PL"/>
              </w:rPr>
              <w:t xml:space="preserve"> Łączna cena brutto spr</w:t>
            </w:r>
            <w:r w:rsidR="00665F92">
              <w:rPr>
                <w:rFonts w:ascii="Century Gothic" w:hAnsi="Century Gothic" w:cs="Calibri"/>
                <w:bCs/>
                <w:sz w:val="20"/>
                <w:szCs w:val="20"/>
                <w:lang w:eastAsia="pl-PL"/>
              </w:rPr>
              <w:t>zętu w zł (suma cen z poz. 1-11</w:t>
            </w:r>
            <w:r>
              <w:rPr>
                <w:rFonts w:ascii="Century Gothic" w:hAnsi="Century Gothic" w:cs="Calibri"/>
                <w:bCs/>
                <w:sz w:val="20"/>
                <w:szCs w:val="20"/>
                <w:lang w:eastAsia="pl-PL"/>
              </w:rPr>
              <w:t>):</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00"/>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nil"/>
            </w:tcBorders>
            <w:shd w:val="clear" w:color="auto" w:fill="auto"/>
            <w:noWrap/>
            <w:vAlign w:val="center"/>
            <w:hideMark/>
          </w:tcPr>
          <w:p w:rsidR="00A07EDC" w:rsidRPr="00FF4BF5" w:rsidRDefault="00A07EDC" w:rsidP="008C537C">
            <w:pPr>
              <w:rPr>
                <w:rFonts w:ascii="Century Gothic" w:hAnsi="Century Gothic" w:cs="Calibri"/>
                <w:lang w:eastAsia="pl-PL"/>
              </w:rPr>
            </w:pPr>
          </w:p>
        </w:tc>
        <w:tc>
          <w:tcPr>
            <w:tcW w:w="1013" w:type="dxa"/>
            <w:gridSpan w:val="2"/>
            <w:tcBorders>
              <w:top w:val="single" w:sz="4" w:space="0" w:color="auto"/>
              <w:left w:val="nil"/>
              <w:bottom w:val="nil"/>
              <w:right w:val="nil"/>
            </w:tcBorders>
            <w:shd w:val="clear" w:color="auto" w:fill="auto"/>
            <w:noWrap/>
            <w:vAlign w:val="center"/>
            <w:hideMark/>
          </w:tcPr>
          <w:p w:rsidR="00A07EDC" w:rsidRPr="00FF4BF5" w:rsidRDefault="00A07EDC" w:rsidP="008C537C">
            <w:pPr>
              <w:rPr>
                <w:rFonts w:ascii="Century Gothic" w:hAnsi="Century Gothic"/>
                <w:sz w:val="20"/>
                <w:szCs w:val="20"/>
                <w:lang w:eastAsia="pl-PL"/>
              </w:rPr>
            </w:pPr>
          </w:p>
        </w:tc>
        <w:tc>
          <w:tcPr>
            <w:tcW w:w="2389" w:type="dxa"/>
            <w:tcBorders>
              <w:top w:val="single" w:sz="4" w:space="0" w:color="auto"/>
              <w:left w:val="nil"/>
              <w:bottom w:val="nil"/>
              <w:right w:val="nil"/>
            </w:tcBorders>
            <w:shd w:val="clear" w:color="auto" w:fill="auto"/>
            <w:noWrap/>
            <w:vAlign w:val="bottom"/>
            <w:hideMark/>
          </w:tcPr>
          <w:p w:rsidR="00A07EDC" w:rsidRPr="00FF4BF5" w:rsidRDefault="00A07EDC" w:rsidP="008C537C">
            <w:pPr>
              <w:rPr>
                <w:rFonts w:ascii="Century Gothic" w:hAnsi="Century Gothic"/>
                <w:sz w:val="20"/>
                <w:szCs w:val="20"/>
                <w:lang w:eastAsia="pl-PL"/>
              </w:rPr>
            </w:pPr>
          </w:p>
        </w:tc>
        <w:tc>
          <w:tcPr>
            <w:tcW w:w="4435" w:type="dxa"/>
            <w:tcBorders>
              <w:top w:val="nil"/>
              <w:left w:val="nil"/>
              <w:bottom w:val="single" w:sz="4" w:space="0" w:color="auto"/>
              <w:right w:val="single" w:sz="4" w:space="0" w:color="auto"/>
            </w:tcBorders>
            <w:shd w:val="clear" w:color="auto" w:fill="auto"/>
            <w:noWrap/>
            <w:vAlign w:val="bottom"/>
            <w:hideMark/>
          </w:tcPr>
          <w:p w:rsidR="00A07EDC" w:rsidRPr="00FF4BF5" w:rsidRDefault="00A07EDC" w:rsidP="008C537C">
            <w:pPr>
              <w:jc w:val="center"/>
              <w:rPr>
                <w:rFonts w:ascii="Century Gothic" w:hAnsi="Century Gothic"/>
                <w:sz w:val="20"/>
                <w:szCs w:val="20"/>
                <w:lang w:eastAsia="pl-PL"/>
              </w:rPr>
            </w:pPr>
          </w:p>
        </w:tc>
      </w:tr>
      <w:tr w:rsidR="00A07EDC" w:rsidRPr="00FF4BF5" w:rsidTr="008C537C">
        <w:trPr>
          <w:trHeight w:val="667"/>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single" w:sz="4" w:space="0" w:color="auto"/>
            </w:tcBorders>
            <w:shd w:val="clear" w:color="auto" w:fill="auto"/>
            <w:vAlign w:val="center"/>
            <w:hideMark/>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nil"/>
            </w:tcBorders>
            <w:shd w:val="clear" w:color="auto" w:fill="auto"/>
            <w:vAlign w:val="center"/>
            <w:hideMark/>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B:</w:t>
            </w:r>
            <w:r w:rsidRPr="00FF4BF5">
              <w:rPr>
                <w:rFonts w:ascii="Century Gothic" w:hAnsi="Century Gothic" w:cs="Calibri"/>
                <w:sz w:val="20"/>
                <w:szCs w:val="20"/>
                <w:lang w:eastAsia="pl-PL"/>
              </w:rPr>
              <w:t xml:space="preserve"> Cena brutto dostawy sprzętu do nowej siedziby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16"/>
        </w:trPr>
        <w:tc>
          <w:tcPr>
            <w:tcW w:w="207" w:type="dxa"/>
            <w:tcBorders>
              <w:top w:val="nil"/>
              <w:left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right w:val="nil"/>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nil"/>
              <w:bottom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p>
        </w:tc>
        <w:tc>
          <w:tcPr>
            <w:tcW w:w="4435" w:type="dxa"/>
            <w:tcBorders>
              <w:top w:val="single" w:sz="4" w:space="0" w:color="auto"/>
              <w:bottom w:val="single" w:sz="4" w:space="0" w:color="auto"/>
              <w:right w:val="single" w:sz="4" w:space="0" w:color="auto"/>
            </w:tcBorders>
            <w:shd w:val="clear" w:color="auto" w:fill="auto"/>
            <w:noWrap/>
            <w:vAlign w:val="bottom"/>
          </w:tcPr>
          <w:p w:rsidR="00A07EDC" w:rsidRPr="00FF4BF5" w:rsidRDefault="00A07EDC" w:rsidP="008C537C">
            <w:pPr>
              <w:jc w:val="center"/>
              <w:rPr>
                <w:rFonts w:ascii="Century Gothic" w:hAnsi="Century Gothic" w:cs="Calibri"/>
                <w:b/>
                <w:sz w:val="20"/>
                <w:szCs w:val="20"/>
                <w:lang w:eastAsia="pl-PL"/>
              </w:rPr>
            </w:pPr>
          </w:p>
        </w:tc>
      </w:tr>
      <w:tr w:rsidR="00A07EDC" w:rsidRPr="00FF4BF5" w:rsidTr="008C537C">
        <w:trPr>
          <w:trHeight w:val="937"/>
        </w:trPr>
        <w:tc>
          <w:tcPr>
            <w:tcW w:w="207" w:type="dxa"/>
            <w:tcBorders>
              <w:left w:val="single" w:sz="4" w:space="0" w:color="auto"/>
              <w:bottom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left w:val="nil"/>
              <w:bottom w:val="single" w:sz="4" w:space="0" w:color="auto"/>
              <w:right w:val="nil"/>
            </w:tcBorders>
          </w:tcPr>
          <w:p w:rsidR="00A07EDC" w:rsidRPr="00FF4BF5" w:rsidRDefault="00A07EDC" w:rsidP="008C537C">
            <w:pPr>
              <w:rPr>
                <w:rFonts w:ascii="Century Gothic" w:hAnsi="Century Gothic" w:cs="Calibri"/>
                <w:lang w:eastAsia="pl-PL"/>
              </w:rPr>
            </w:pPr>
          </w:p>
        </w:tc>
        <w:tc>
          <w:tcPr>
            <w:tcW w:w="5528" w:type="dxa"/>
            <w:tcBorders>
              <w:left w:val="nil"/>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C:</w:t>
            </w:r>
            <w:r w:rsidRPr="00FF4BF5">
              <w:rPr>
                <w:rFonts w:ascii="Century Gothic" w:hAnsi="Century Gothic" w:cs="Calibri"/>
                <w:sz w:val="20"/>
                <w:szCs w:val="20"/>
                <w:lang w:eastAsia="pl-PL"/>
              </w:rPr>
              <w:t xml:space="preserve"> Cena brutto instalacji, szkolenia i uruchomienia sprzętu w nowej siedzibie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07EDC" w:rsidRPr="00FF4BF5" w:rsidRDefault="00A07EDC" w:rsidP="008C537C">
            <w:pPr>
              <w:jc w:val="center"/>
              <w:rPr>
                <w:rFonts w:ascii="Century Gothic" w:hAnsi="Century Gothic" w:cs="Calibri"/>
                <w:b/>
                <w:sz w:val="20"/>
                <w:szCs w:val="20"/>
                <w:lang w:eastAsia="pl-PL"/>
              </w:rPr>
            </w:pPr>
          </w:p>
        </w:tc>
      </w:tr>
    </w:tbl>
    <w:p w:rsidR="00A07EDC" w:rsidRDefault="00A07EDC" w:rsidP="00A07EDC">
      <w:pPr>
        <w:rPr>
          <w:rFonts w:ascii="Century Gothic" w:hAnsi="Century Gothic"/>
          <w:sz w:val="16"/>
          <w:szCs w:val="16"/>
        </w:rPr>
      </w:pPr>
    </w:p>
    <w:p w:rsidR="00A07EDC" w:rsidRPr="001D57E8" w:rsidRDefault="00A07EDC" w:rsidP="00A07EDC">
      <w:pPr>
        <w:rPr>
          <w:rFonts w:ascii="Century Gothic" w:hAnsi="Century Gothic"/>
          <w:sz w:val="16"/>
          <w:szCs w:val="16"/>
        </w:rPr>
      </w:pPr>
    </w:p>
    <w:tbl>
      <w:tblPr>
        <w:tblW w:w="14074" w:type="dxa"/>
        <w:tblInd w:w="70" w:type="dxa"/>
        <w:tblCellMar>
          <w:left w:w="70" w:type="dxa"/>
          <w:right w:w="70" w:type="dxa"/>
        </w:tblCellMar>
        <w:tblLook w:val="04A0" w:firstRow="1" w:lastRow="0" w:firstColumn="1" w:lastColumn="0" w:noHBand="0" w:noVBand="1"/>
      </w:tblPr>
      <w:tblGrid>
        <w:gridCol w:w="567"/>
        <w:gridCol w:w="5245"/>
        <w:gridCol w:w="851"/>
        <w:gridCol w:w="1134"/>
        <w:gridCol w:w="2693"/>
        <w:gridCol w:w="3584"/>
      </w:tblGrid>
      <w:tr w:rsidR="00A07EDC" w:rsidRPr="00FF4BF5" w:rsidTr="008C537C">
        <w:trPr>
          <w:trHeight w:val="804"/>
        </w:trPr>
        <w:tc>
          <w:tcPr>
            <w:tcW w:w="14074" w:type="dxa"/>
            <w:gridSpan w:val="6"/>
            <w:tcBorders>
              <w:top w:val="single" w:sz="4" w:space="0" w:color="auto"/>
              <w:left w:val="single" w:sz="4" w:space="0" w:color="auto"/>
              <w:right w:val="single" w:sz="4" w:space="0" w:color="auto"/>
            </w:tcBorders>
          </w:tcPr>
          <w:p w:rsidR="00A07EDC" w:rsidRPr="00FF4BF5" w:rsidRDefault="00A07EDC" w:rsidP="008C537C">
            <w:pPr>
              <w:rPr>
                <w:rFonts w:ascii="Century Gothic" w:hAnsi="Century Gothic" w:cs="Calibri"/>
                <w:b/>
                <w:sz w:val="20"/>
                <w:szCs w:val="20"/>
                <w:lang w:eastAsia="pl-PL"/>
              </w:rPr>
            </w:pPr>
            <w:r w:rsidRPr="00FF4BF5">
              <w:rPr>
                <w:rFonts w:ascii="Century Gothic" w:hAnsi="Century Gothic" w:cs="Calibri"/>
                <w:lang w:eastAsia="pl-PL"/>
              </w:rPr>
              <w:t> </w:t>
            </w:r>
            <w:r w:rsidRPr="00FF4BF5">
              <w:rPr>
                <w:rFonts w:ascii="Century Gothic" w:hAnsi="Century Gothic" w:cs="Calibri"/>
                <w:b/>
                <w:sz w:val="20"/>
                <w:szCs w:val="20"/>
                <w:lang w:eastAsia="pl-PL"/>
              </w:rPr>
              <w:t>ZAMÓWIENIE OPCJONALNE:</w:t>
            </w:r>
          </w:p>
          <w:p w:rsidR="00A07EDC" w:rsidRPr="00DB32A3" w:rsidRDefault="00A07EDC" w:rsidP="008C537C">
            <w:pPr>
              <w:rPr>
                <w:rFonts w:ascii="Century Gothic" w:hAnsi="Century Gothic" w:cs="Calibri"/>
                <w:sz w:val="20"/>
                <w:szCs w:val="20"/>
                <w:lang w:eastAsia="pl-PL"/>
              </w:rPr>
            </w:pPr>
            <w:r w:rsidRPr="00FF4BF5">
              <w:rPr>
                <w:rFonts w:ascii="Century Gothic" w:hAnsi="Century Gothic" w:cs="Calibri"/>
                <w:lang w:eastAsia="pl-PL"/>
              </w:rPr>
              <w:t> </w:t>
            </w:r>
            <w:r w:rsidRPr="00DB32A3">
              <w:rPr>
                <w:rFonts w:ascii="Century Gothic" w:hAnsi="Century Gothic" w:cs="Calibri"/>
                <w:b/>
                <w:sz w:val="20"/>
                <w:szCs w:val="20"/>
                <w:lang w:eastAsia="pl-PL"/>
              </w:rPr>
              <w:t xml:space="preserve">dostawa sprzętu do magazynu Wykonawcy oraz </w:t>
            </w:r>
            <w:r>
              <w:rPr>
                <w:rFonts w:ascii="Century Gothic" w:hAnsi="Century Gothic" w:cs="Calibri"/>
                <w:b/>
                <w:sz w:val="20"/>
                <w:szCs w:val="20"/>
                <w:lang w:eastAsia="pl-PL"/>
              </w:rPr>
              <w:t>przechowywanie</w:t>
            </w:r>
            <w:r w:rsidRPr="00DB32A3">
              <w:rPr>
                <w:rFonts w:ascii="Century Gothic" w:hAnsi="Century Gothic" w:cs="Calibri"/>
                <w:b/>
                <w:sz w:val="20"/>
                <w:szCs w:val="20"/>
                <w:lang w:eastAsia="pl-PL"/>
              </w:rPr>
              <w:t xml:space="preserve"> sprzętu w magazynie Wykonawcy nie dłużej niż do 30.11.2019 r.</w:t>
            </w:r>
          </w:p>
        </w:tc>
      </w:tr>
      <w:tr w:rsidR="00A07EDC" w:rsidRPr="00FF4BF5" w:rsidTr="008C537C">
        <w:trPr>
          <w:trHeight w:val="951"/>
        </w:trPr>
        <w:tc>
          <w:tcPr>
            <w:tcW w:w="567" w:type="dxa"/>
            <w:tcBorders>
              <w:top w:val="single" w:sz="4" w:space="0" w:color="auto"/>
              <w:left w:val="single" w:sz="4" w:space="0" w:color="auto"/>
              <w:bottom w:val="single" w:sz="4" w:space="0" w:color="auto"/>
              <w:right w:val="nil"/>
            </w:tcBorders>
            <w:vAlign w:val="center"/>
          </w:tcPr>
          <w:p w:rsidR="00A07EDC" w:rsidRPr="001D57E8" w:rsidRDefault="00A07EDC" w:rsidP="008C537C">
            <w:pPr>
              <w:rPr>
                <w:rFonts w:ascii="Century Gothic" w:hAnsi="Century Gothic"/>
                <w:sz w:val="20"/>
                <w:szCs w:val="20"/>
              </w:rPr>
            </w:pPr>
            <w:r>
              <w:rPr>
                <w:rFonts w:ascii="Century Gothic" w:hAnsi="Century Gothic"/>
                <w:sz w:val="20"/>
                <w:szCs w:val="20"/>
              </w:rPr>
              <w:t>Lp.</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A07EDC" w:rsidRPr="001D57E8" w:rsidRDefault="00A07EDC" w:rsidP="008C537C">
            <w:pPr>
              <w:rPr>
                <w:rFonts w:ascii="Century Gothic" w:hAnsi="Century Gothic" w:cs="Calibri"/>
                <w:sz w:val="20"/>
                <w:szCs w:val="20"/>
                <w:lang w:eastAsia="pl-PL"/>
              </w:rPr>
            </w:pPr>
            <w:r w:rsidRPr="001D57E8">
              <w:rPr>
                <w:rFonts w:ascii="Century Gothic" w:hAnsi="Century Gothic"/>
                <w:sz w:val="20"/>
                <w:szCs w:val="20"/>
              </w:rPr>
              <w:t>Przedmiot</w:t>
            </w:r>
          </w:p>
        </w:tc>
        <w:tc>
          <w:tcPr>
            <w:tcW w:w="851" w:type="dxa"/>
            <w:tcBorders>
              <w:top w:val="single" w:sz="4" w:space="0" w:color="auto"/>
              <w:left w:val="single" w:sz="4" w:space="0" w:color="auto"/>
              <w:bottom w:val="single" w:sz="4" w:space="0" w:color="auto"/>
              <w:right w:val="single" w:sz="4" w:space="0" w:color="auto"/>
            </w:tcBorders>
            <w:vAlign w:val="center"/>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sztuk</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miesięcy</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 xml:space="preserve">Cena brutto miesięcznego </w:t>
            </w:r>
            <w:r>
              <w:rPr>
                <w:rFonts w:ascii="Century Gothic" w:hAnsi="Century Gothic"/>
                <w:sz w:val="20"/>
                <w:szCs w:val="20"/>
              </w:rPr>
              <w:t>przechowywania</w:t>
            </w:r>
            <w:r w:rsidRPr="001D57E8">
              <w:rPr>
                <w:rFonts w:ascii="Century Gothic" w:hAnsi="Century Gothic"/>
                <w:sz w:val="20"/>
                <w:szCs w:val="20"/>
              </w:rPr>
              <w:t xml:space="preserve"> 1 sztuki sprzętu (w zł)</w:t>
            </w:r>
          </w:p>
        </w:tc>
        <w:tc>
          <w:tcPr>
            <w:tcW w:w="3584"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Pr>
                <w:rFonts w:ascii="Century Gothic" w:hAnsi="Century Gothic"/>
                <w:sz w:val="20"/>
                <w:szCs w:val="20"/>
              </w:rPr>
              <w:t>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pozycjach</w:t>
            </w:r>
            <w:r w:rsidRPr="001D57E8">
              <w:rPr>
                <w:rFonts w:ascii="Century Gothic" w:hAnsi="Century Gothic"/>
                <w:sz w:val="20"/>
                <w:szCs w:val="20"/>
              </w:rPr>
              <w:t xml:space="preserve"> (w zł):</w:t>
            </w:r>
          </w:p>
        </w:tc>
      </w:tr>
      <w:tr w:rsidR="00CF14B1" w:rsidRPr="00FF4BF5" w:rsidTr="00CF14B1">
        <w:trPr>
          <w:trHeight w:val="624"/>
        </w:trPr>
        <w:tc>
          <w:tcPr>
            <w:tcW w:w="14074" w:type="dxa"/>
            <w:gridSpan w:val="6"/>
            <w:tcBorders>
              <w:top w:val="single" w:sz="4" w:space="0" w:color="auto"/>
              <w:left w:val="single" w:sz="4" w:space="0" w:color="auto"/>
              <w:bottom w:val="single" w:sz="4" w:space="0" w:color="auto"/>
              <w:right w:val="single" w:sz="4" w:space="0" w:color="auto"/>
            </w:tcBorders>
            <w:vAlign w:val="center"/>
          </w:tcPr>
          <w:p w:rsidR="00CF14B1" w:rsidRPr="00FF4BF5" w:rsidRDefault="00CF14B1" w:rsidP="00CF14B1">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Pr="001D57E8" w:rsidRDefault="00CF14B1" w:rsidP="008C537C">
            <w:pPr>
              <w:rPr>
                <w:rFonts w:ascii="Century Gothic" w:hAnsi="Century Gothic" w:cs="Calibri"/>
                <w:sz w:val="20"/>
                <w:szCs w:val="20"/>
                <w:lang w:eastAsia="pl-PL"/>
              </w:rPr>
            </w:pPr>
            <w:r>
              <w:rPr>
                <w:rFonts w:ascii="Century Gothic" w:hAnsi="Century Gothic" w:cs="Calibri"/>
                <w:sz w:val="20"/>
                <w:szCs w:val="20"/>
                <w:lang w:eastAsia="pl-PL"/>
              </w:rPr>
              <w:t>1.</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CF14B1" w:rsidRPr="00FF4BF5" w:rsidRDefault="00CF14B1" w:rsidP="008C537C">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single" w:sz="4" w:space="0" w:color="auto"/>
              <w:bottom w:val="single" w:sz="4" w:space="0" w:color="auto"/>
              <w:right w:val="single" w:sz="4" w:space="0" w:color="auto"/>
            </w:tcBorders>
            <w:vAlign w:val="center"/>
          </w:tcPr>
          <w:p w:rsidR="00CF14B1" w:rsidRPr="00FF4BF5" w:rsidRDefault="00CF14B1" w:rsidP="008C537C">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r>
              <w:rPr>
                <w:rFonts w:ascii="Century Gothic" w:hAnsi="Century Gothic" w:cs="Calibri"/>
                <w:sz w:val="20"/>
                <w:szCs w:val="20"/>
                <w:lang w:eastAsia="pl-PL"/>
              </w:rPr>
              <w:t>14</w:t>
            </w:r>
          </w:p>
        </w:tc>
        <w:tc>
          <w:tcPr>
            <w:tcW w:w="2693"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c>
          <w:tcPr>
            <w:tcW w:w="3584"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2.</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lastRenderedPageBreak/>
              <w:t>3.</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4.</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5.</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45526A" w:rsidRDefault="00CF14B1" w:rsidP="008C537C">
            <w:pPr>
              <w:rPr>
                <w:rFonts w:ascii="Century Gothic" w:hAnsi="Century Gothic"/>
                <w:sz w:val="20"/>
                <w:highlight w:val="yellow"/>
              </w:rPr>
            </w:pPr>
            <w:r w:rsidRPr="0045526A">
              <w:rPr>
                <w:rFonts w:ascii="Century Gothic" w:hAnsi="Century Gothic"/>
                <w:sz w:val="20"/>
                <w:szCs w:val="20"/>
                <w:highlight w:val="yellow"/>
              </w:rPr>
              <w:t>Stacja dokująca 6 lub 8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Pr="0045526A" w:rsidRDefault="0045526A" w:rsidP="008C537C">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6.</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7.</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8.</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 xml:space="preserve">Zasilacz UPS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9.</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Tester bezpieczeństwa elektrycznego</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10</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Stacja do pracy pomp w środowisku MRI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11.</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Pompy TCI-TIVA</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A07EDC" w:rsidRPr="00FF4BF5" w:rsidTr="008C537C">
        <w:trPr>
          <w:trHeight w:val="1141"/>
        </w:trPr>
        <w:tc>
          <w:tcPr>
            <w:tcW w:w="567" w:type="dxa"/>
            <w:tcBorders>
              <w:top w:val="single" w:sz="4" w:space="0" w:color="auto"/>
            </w:tcBorders>
          </w:tcPr>
          <w:p w:rsidR="00A07EDC" w:rsidRPr="00FF4BF5" w:rsidRDefault="00A07EDC" w:rsidP="008C537C">
            <w:pPr>
              <w:rPr>
                <w:rFonts w:ascii="Century Gothic" w:hAnsi="Century Gothic"/>
                <w:sz w:val="20"/>
              </w:rPr>
            </w:pPr>
          </w:p>
        </w:tc>
        <w:tc>
          <w:tcPr>
            <w:tcW w:w="5245" w:type="dxa"/>
            <w:tcBorders>
              <w:top w:val="single" w:sz="4" w:space="0" w:color="auto"/>
            </w:tcBorders>
            <w:shd w:val="clear" w:color="auto" w:fill="auto"/>
            <w:noWrap/>
            <w:vAlign w:val="center"/>
          </w:tcPr>
          <w:p w:rsidR="00A07EDC" w:rsidRPr="00FF4BF5" w:rsidRDefault="00A07EDC" w:rsidP="008C537C">
            <w:pPr>
              <w:rPr>
                <w:rFonts w:ascii="Century Gothic" w:hAnsi="Century Gothic"/>
                <w:sz w:val="20"/>
              </w:rPr>
            </w:pPr>
          </w:p>
        </w:tc>
        <w:tc>
          <w:tcPr>
            <w:tcW w:w="851" w:type="dxa"/>
            <w:tcBorders>
              <w:top w:val="single" w:sz="4" w:space="0" w:color="auto"/>
              <w:right w:val="single" w:sz="4" w:space="0" w:color="auto"/>
            </w:tcBorders>
            <w:vAlign w:val="center"/>
          </w:tcPr>
          <w:p w:rsidR="00A07EDC" w:rsidRDefault="00A07EDC" w:rsidP="008C537C">
            <w:pPr>
              <w:jc w:val="center"/>
              <w:rPr>
                <w:rFonts w:ascii="Century Gothic" w:hAnsi="Century Gothic" w:cs="Calibri"/>
                <w:bCs/>
                <w:sz w:val="20"/>
                <w:szCs w:val="20"/>
                <w:lang w:eastAsia="pl-PL"/>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sz w:val="20"/>
                <w:szCs w:val="20"/>
                <w:lang w:eastAsia="pl-PL"/>
              </w:rPr>
            </w:pPr>
            <w:r w:rsidRPr="001D57E8">
              <w:rPr>
                <w:rFonts w:ascii="Century Gothic" w:hAnsi="Century Gothic"/>
                <w:b/>
                <w:sz w:val="20"/>
                <w:szCs w:val="20"/>
              </w:rPr>
              <w:t>D:</w:t>
            </w:r>
            <w:r>
              <w:rPr>
                <w:rFonts w:ascii="Century Gothic" w:hAnsi="Century Gothic"/>
                <w:sz w:val="20"/>
                <w:szCs w:val="20"/>
              </w:rPr>
              <w:t xml:space="preserve"> Łączna 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zł (suma c</w:t>
            </w:r>
            <w:r w:rsidR="00CF14B1">
              <w:rPr>
                <w:rFonts w:ascii="Century Gothic" w:hAnsi="Century Gothic"/>
                <w:sz w:val="20"/>
                <w:szCs w:val="20"/>
              </w:rPr>
              <w:t>en z poz. 1-11)</w:t>
            </w:r>
            <w:r w:rsidRPr="001D57E8">
              <w:rPr>
                <w:rFonts w:ascii="Century Gothic" w:hAnsi="Century Gothic"/>
                <w:sz w:val="20"/>
                <w:szCs w:val="20"/>
              </w:rPr>
              <w:t>:</w:t>
            </w:r>
          </w:p>
        </w:tc>
        <w:tc>
          <w:tcPr>
            <w:tcW w:w="3584" w:type="dxa"/>
            <w:tcBorders>
              <w:top w:val="single" w:sz="4" w:space="0" w:color="auto"/>
              <w:left w:val="nil"/>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bl>
    <w:p w:rsidR="00A07EDC" w:rsidRDefault="00A07EDC" w:rsidP="00A07EDC">
      <w:pPr>
        <w:rPr>
          <w:rFonts w:ascii="Century Gothic" w:hAnsi="Century Gothic"/>
          <w:sz w:val="10"/>
          <w:szCs w:val="10"/>
        </w:rPr>
      </w:pPr>
    </w:p>
    <w:p w:rsidR="00A07EDC" w:rsidRDefault="00A07EDC" w:rsidP="00A07EDC">
      <w:pPr>
        <w:rPr>
          <w:rFonts w:ascii="Century Gothic" w:hAnsi="Century Gothic"/>
          <w:sz w:val="10"/>
          <w:szCs w:val="10"/>
        </w:rPr>
      </w:pPr>
    </w:p>
    <w:p w:rsidR="00A07EDC" w:rsidRPr="00FF4BF5" w:rsidRDefault="00A07EDC" w:rsidP="00A07EDC">
      <w:pPr>
        <w:rPr>
          <w:rFonts w:ascii="Century Gothic" w:hAnsi="Century Gothic"/>
          <w:sz w:val="10"/>
          <w:szCs w:val="10"/>
        </w:rPr>
      </w:pPr>
    </w:p>
    <w:tbl>
      <w:tblPr>
        <w:tblW w:w="3724" w:type="pct"/>
        <w:tblInd w:w="3412" w:type="dxa"/>
        <w:tblCellMar>
          <w:left w:w="10" w:type="dxa"/>
          <w:right w:w="10" w:type="dxa"/>
        </w:tblCellMar>
        <w:tblLook w:val="04A0" w:firstRow="1" w:lastRow="0" w:firstColumn="1" w:lastColumn="0" w:noHBand="0" w:noVBand="1"/>
      </w:tblPr>
      <w:tblGrid>
        <w:gridCol w:w="4267"/>
        <w:gridCol w:w="6223"/>
      </w:tblGrid>
      <w:tr w:rsidR="00A07EDC" w:rsidRPr="00FF4BF5" w:rsidTr="008C537C">
        <w:trPr>
          <w:trHeight w:val="527"/>
        </w:trPr>
        <w:tc>
          <w:tcPr>
            <w:tcW w:w="2034" w:type="pct"/>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pStyle w:val="Skrconyadreszwrotny"/>
              <w:snapToGrid w:val="0"/>
              <w:rPr>
                <w:rFonts w:ascii="Century Gothic" w:hAnsi="Century Gothic"/>
                <w:bCs/>
                <w:sz w:val="20"/>
              </w:rPr>
            </w:pPr>
            <w:r w:rsidRPr="00FF4BF5">
              <w:rPr>
                <w:rFonts w:ascii="Century Gothic" w:hAnsi="Century Gothic"/>
                <w:bCs/>
                <w:sz w:val="20"/>
              </w:rPr>
              <w:t xml:space="preserve">A+ B + C + D: </w:t>
            </w:r>
            <w:r w:rsidRPr="00FF4BF5">
              <w:rPr>
                <w:rFonts w:ascii="Century Gothic" w:hAnsi="Century Gothic"/>
                <w:b/>
                <w:bCs/>
                <w:sz w:val="20"/>
              </w:rPr>
              <w:t xml:space="preserve">Cena brutto oferty </w:t>
            </w:r>
            <w:r w:rsidRPr="00FF4BF5">
              <w:rPr>
                <w:rFonts w:ascii="Century Gothic" w:hAnsi="Century Gothic" w:cs="Calibri"/>
                <w:sz w:val="20"/>
              </w:rPr>
              <w:t>(w zł)</w:t>
            </w:r>
          </w:p>
        </w:tc>
        <w:tc>
          <w:tcPr>
            <w:tcW w:w="296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A07EDC" w:rsidRPr="00FF4BF5" w:rsidRDefault="00A07EDC" w:rsidP="008C537C">
            <w:pPr>
              <w:pStyle w:val="Skrconyadreszwrotny"/>
              <w:snapToGrid w:val="0"/>
              <w:jc w:val="center"/>
              <w:rPr>
                <w:rFonts w:ascii="Century Gothic" w:hAnsi="Century Gothic"/>
                <w:bCs/>
                <w:sz w:val="20"/>
              </w:rPr>
            </w:pPr>
          </w:p>
        </w:tc>
      </w:tr>
    </w:tbl>
    <w:p w:rsidR="00A07EDC" w:rsidRDefault="00A07EDC" w:rsidP="00093EFD">
      <w:pPr>
        <w:spacing w:line="288" w:lineRule="auto"/>
        <w:rPr>
          <w:rFonts w:ascii="Century Gothic" w:hAnsi="Century Gothic"/>
          <w:b/>
          <w:sz w:val="22"/>
          <w:szCs w:val="22"/>
        </w:rPr>
      </w:pPr>
    </w:p>
    <w:p w:rsidR="0097030B" w:rsidRPr="00FF4BF5" w:rsidRDefault="0074558B" w:rsidP="00717953">
      <w:pPr>
        <w:suppressAutoHyphens w:val="0"/>
        <w:spacing w:after="200" w:line="276" w:lineRule="auto"/>
        <w:rPr>
          <w:rFonts w:ascii="Century Gothic" w:hAnsi="Century Gothic"/>
          <w:b/>
          <w:sz w:val="22"/>
          <w:szCs w:val="22"/>
        </w:rPr>
      </w:pPr>
      <w:r>
        <w:rPr>
          <w:rFonts w:ascii="Century Gothic" w:hAnsi="Century Gothic"/>
          <w:sz w:val="20"/>
        </w:rPr>
        <w:br w:type="page"/>
      </w:r>
      <w:r w:rsidR="0097030B" w:rsidRPr="00FF4BF5">
        <w:rPr>
          <w:rFonts w:ascii="Century Gothic" w:hAnsi="Century Gothic"/>
          <w:b/>
          <w:sz w:val="22"/>
          <w:szCs w:val="22"/>
        </w:rPr>
        <w:lastRenderedPageBreak/>
        <w:t xml:space="preserve">PARAMETRY TECHNICZNE I EKSPLOATACYJNE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2"/>
      </w:tblGrid>
      <w:tr w:rsidR="00FF4BF5" w:rsidRPr="00915CAA" w:rsidTr="00915CAA">
        <w:tc>
          <w:tcPr>
            <w:tcW w:w="675"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pStyle w:val="Nagwek3"/>
              <w:snapToGrid w:val="0"/>
              <w:spacing w:line="276" w:lineRule="auto"/>
              <w:ind w:left="0" w:firstLine="0"/>
              <w:jc w:val="center"/>
              <w:rPr>
                <w:rFonts w:ascii="Century Gothic" w:hAnsi="Century Gothic"/>
                <w:sz w:val="20"/>
                <w:szCs w:val="20"/>
                <w:lang w:eastAsia="en-US"/>
              </w:rPr>
            </w:pPr>
            <w:r w:rsidRPr="00915CAA">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OFEROWANY</w:t>
            </w:r>
          </w:p>
        </w:tc>
        <w:tc>
          <w:tcPr>
            <w:tcW w:w="2412"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SPOSÓB OCENY</w:t>
            </w:r>
          </w:p>
        </w:tc>
      </w:tr>
      <w:tr w:rsidR="00ED2776"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Każde </w:t>
            </w:r>
            <w:r w:rsidR="00C70B0F" w:rsidRPr="00915CAA">
              <w:rPr>
                <w:rFonts w:ascii="Century Gothic" w:hAnsi="Century Gothic"/>
                <w:b w:val="0"/>
                <w:sz w:val="20"/>
                <w:szCs w:val="20"/>
                <w:lang w:eastAsia="en-US"/>
              </w:rPr>
              <w:t xml:space="preserve">elektroniczne </w:t>
            </w:r>
            <w:r w:rsidRPr="00915CAA">
              <w:rPr>
                <w:rFonts w:ascii="Century Gothic" w:hAnsi="Century Gothic"/>
                <w:b w:val="0"/>
                <w:sz w:val="20"/>
                <w:szCs w:val="20"/>
                <w:lang w:eastAsia="en-US"/>
              </w:rPr>
              <w:t xml:space="preserve">urządzenie  </w:t>
            </w:r>
            <w:r w:rsidR="001B21D0" w:rsidRPr="00915CAA">
              <w:rPr>
                <w:rFonts w:ascii="Century Gothic" w:hAnsi="Century Gothic"/>
                <w:b w:val="0"/>
                <w:sz w:val="20"/>
                <w:szCs w:val="20"/>
                <w:lang w:eastAsia="en-US"/>
              </w:rPr>
              <w:t xml:space="preserve">zaoferowane </w:t>
            </w:r>
            <w:r w:rsidR="00BD595F" w:rsidRPr="00915CAA">
              <w:rPr>
                <w:rFonts w:ascii="Century Gothic" w:hAnsi="Century Gothic"/>
                <w:b w:val="0"/>
                <w:sz w:val="20"/>
                <w:szCs w:val="20"/>
                <w:lang w:eastAsia="en-US"/>
              </w:rPr>
              <w:t xml:space="preserve">w </w:t>
            </w:r>
            <w:r w:rsidR="001B21D0" w:rsidRPr="00915CAA">
              <w:rPr>
                <w:rFonts w:ascii="Century Gothic" w:hAnsi="Century Gothic"/>
                <w:b w:val="0"/>
                <w:sz w:val="20"/>
                <w:szCs w:val="20"/>
                <w:lang w:eastAsia="en-US"/>
              </w:rPr>
              <w:t>części</w:t>
            </w:r>
            <w:r w:rsidR="00BD595F" w:rsidRPr="00915CAA">
              <w:rPr>
                <w:rFonts w:ascii="Century Gothic" w:hAnsi="Century Gothic"/>
                <w:b w:val="0"/>
                <w:sz w:val="20"/>
                <w:szCs w:val="20"/>
                <w:lang w:eastAsia="en-US"/>
              </w:rPr>
              <w:t xml:space="preserve"> 1</w:t>
            </w:r>
            <w:r w:rsidRPr="00915CAA">
              <w:rPr>
                <w:rFonts w:ascii="Century Gothic" w:hAnsi="Century Gothic"/>
                <w:b w:val="0"/>
                <w:sz w:val="20"/>
                <w:szCs w:val="20"/>
                <w:lang w:eastAsia="en-US"/>
              </w:rPr>
              <w:t xml:space="preserve"> </w:t>
            </w:r>
            <w:r w:rsidR="001B21D0" w:rsidRPr="00915CAA">
              <w:rPr>
                <w:rFonts w:ascii="Century Gothic" w:hAnsi="Century Gothic"/>
                <w:b w:val="0"/>
                <w:sz w:val="20"/>
                <w:szCs w:val="20"/>
                <w:lang w:eastAsia="en-US"/>
              </w:rPr>
              <w:t xml:space="preserve">z dołączonym </w:t>
            </w:r>
            <w:r w:rsidR="00215BBA" w:rsidRPr="00915CAA">
              <w:rPr>
                <w:rFonts w:ascii="Century Gothic" w:hAnsi="Century Gothic"/>
                <w:b w:val="0"/>
                <w:sz w:val="20"/>
                <w:szCs w:val="20"/>
                <w:lang w:eastAsia="en-US"/>
              </w:rPr>
              <w:t xml:space="preserve">pełnym </w:t>
            </w:r>
            <w:r w:rsidR="001B21D0" w:rsidRPr="00915CAA">
              <w:rPr>
                <w:rFonts w:ascii="Century Gothic" w:hAnsi="Century Gothic"/>
                <w:b w:val="0"/>
                <w:sz w:val="20"/>
                <w:szCs w:val="20"/>
                <w:lang w:eastAsia="en-US"/>
              </w:rPr>
              <w:t xml:space="preserve">interfejsem </w:t>
            </w:r>
            <w:r w:rsidR="00215BBA" w:rsidRPr="00915CAA">
              <w:rPr>
                <w:rFonts w:ascii="Century Gothic" w:hAnsi="Century Gothic"/>
                <w:b w:val="0"/>
                <w:sz w:val="20"/>
                <w:szCs w:val="20"/>
                <w:lang w:eastAsia="en-US"/>
              </w:rPr>
              <w:t>(do ustalenia z zamawiającym na etapie dostawy) d</w:t>
            </w:r>
            <w:r w:rsidR="001B21D0" w:rsidRPr="00915CAA">
              <w:rPr>
                <w:rFonts w:ascii="Century Gothic" w:hAnsi="Century Gothic"/>
                <w:b w:val="0"/>
                <w:sz w:val="20"/>
                <w:szCs w:val="20"/>
                <w:lang w:eastAsia="en-US"/>
              </w:rPr>
              <w:t xml:space="preserve">o </w:t>
            </w:r>
            <w:r w:rsidRPr="00915CAA">
              <w:rPr>
                <w:rFonts w:ascii="Century Gothic" w:hAnsi="Century Gothic"/>
                <w:b w:val="0"/>
                <w:sz w:val="20"/>
                <w:szCs w:val="20"/>
                <w:lang w:eastAsia="en-US"/>
              </w:rPr>
              <w:t xml:space="preserve"> komunikacji z systemem </w:t>
            </w:r>
            <w:r w:rsidR="00BD595F" w:rsidRPr="00915CAA">
              <w:rPr>
                <w:rFonts w:ascii="Century Gothic" w:hAnsi="Century Gothic"/>
                <w:b w:val="0"/>
                <w:sz w:val="20"/>
                <w:szCs w:val="20"/>
                <w:lang w:eastAsia="en-US"/>
              </w:rPr>
              <w:t xml:space="preserve">do </w:t>
            </w:r>
            <w:r w:rsidR="001B21D0" w:rsidRPr="00915CAA">
              <w:rPr>
                <w:rFonts w:ascii="Century Gothic" w:hAnsi="Century Gothic"/>
                <w:b w:val="0"/>
                <w:sz w:val="20"/>
                <w:szCs w:val="20"/>
                <w:lang w:eastAsia="en-US"/>
              </w:rPr>
              <w:t xml:space="preserve">monitorowania </w:t>
            </w:r>
            <w:r w:rsidRPr="00915CAA">
              <w:rPr>
                <w:rFonts w:ascii="Century Gothic" w:hAnsi="Century Gothic"/>
                <w:b w:val="0"/>
                <w:sz w:val="20"/>
                <w:szCs w:val="20"/>
                <w:lang w:eastAsia="en-US"/>
              </w:rPr>
              <w:t>i zarządzania</w:t>
            </w:r>
            <w:r w:rsidR="001B21D0" w:rsidRPr="00915CAA">
              <w:rPr>
                <w:rFonts w:ascii="Century Gothic" w:hAnsi="Century Gothic"/>
                <w:b w:val="0"/>
                <w:sz w:val="20"/>
                <w:szCs w:val="20"/>
                <w:lang w:eastAsia="en-US"/>
              </w:rPr>
              <w:t xml:space="preserve"> pracą </w:t>
            </w:r>
            <w:r w:rsidRPr="00915CAA">
              <w:rPr>
                <w:rFonts w:ascii="Century Gothic" w:hAnsi="Century Gothic"/>
                <w:b w:val="0"/>
                <w:sz w:val="20"/>
                <w:szCs w:val="20"/>
                <w:lang w:eastAsia="en-US"/>
              </w:rPr>
              <w:t>OIOM</w:t>
            </w:r>
            <w:r w:rsidR="001B21D0" w:rsidRPr="00915CAA">
              <w:rPr>
                <w:rFonts w:ascii="Century Gothic" w:hAnsi="Century Gothic"/>
                <w:b w:val="0"/>
                <w:sz w:val="20"/>
                <w:szCs w:val="20"/>
                <w:lang w:eastAsia="en-US"/>
              </w:rPr>
              <w:t xml:space="preserve"> </w:t>
            </w:r>
            <w:r w:rsidR="00915CAA">
              <w:rPr>
                <w:rFonts w:ascii="Century Gothic" w:hAnsi="Century Gothic"/>
                <w:b w:val="0"/>
                <w:sz w:val="20"/>
                <w:szCs w:val="20"/>
                <w:lang w:eastAsia="en-US"/>
              </w:rPr>
              <w:t>wiodących</w:t>
            </w:r>
            <w:r w:rsidR="001B21D0" w:rsidRPr="00915CAA">
              <w:rPr>
                <w:rFonts w:ascii="Century Gothic" w:hAnsi="Century Gothic"/>
                <w:b w:val="0"/>
                <w:sz w:val="20"/>
                <w:szCs w:val="20"/>
                <w:lang w:eastAsia="en-US"/>
              </w:rPr>
              <w:t xml:space="preserve"> producentów.</w:t>
            </w:r>
          </w:p>
          <w:p w:rsidR="001B21D0" w:rsidRPr="00915CAA" w:rsidRDefault="001B21D0" w:rsidP="00D31E77">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Opisany system pozwala</w:t>
            </w:r>
            <w:r w:rsidR="00BD595F" w:rsidRPr="00915CAA">
              <w:rPr>
                <w:rFonts w:ascii="Century Gothic" w:hAnsi="Century Gothic"/>
                <w:b w:val="0"/>
                <w:sz w:val="20"/>
                <w:szCs w:val="20"/>
                <w:lang w:eastAsia="en-US"/>
              </w:rPr>
              <w:t xml:space="preserve"> m.in.</w:t>
            </w:r>
            <w:r w:rsidRPr="00915CAA">
              <w:rPr>
                <w:rFonts w:ascii="Century Gothic" w:hAnsi="Century Gothic"/>
                <w:b w:val="0"/>
                <w:sz w:val="20"/>
                <w:szCs w:val="20"/>
                <w:lang w:eastAsia="en-US"/>
              </w:rPr>
              <w:t xml:space="preserve"> na gromadzenie danych infuzji, </w:t>
            </w:r>
            <w:r w:rsidR="00BD595F" w:rsidRPr="00915CAA">
              <w:rPr>
                <w:rFonts w:ascii="Century Gothic" w:hAnsi="Century Gothic"/>
                <w:b w:val="0"/>
                <w:sz w:val="20"/>
                <w:szCs w:val="20"/>
                <w:lang w:eastAsia="en-US"/>
              </w:rPr>
              <w:t xml:space="preserve">systemów </w:t>
            </w:r>
            <w:r w:rsidRPr="00915CAA">
              <w:rPr>
                <w:rFonts w:ascii="Century Gothic" w:hAnsi="Century Gothic"/>
                <w:b w:val="0"/>
                <w:sz w:val="20"/>
                <w:szCs w:val="20"/>
                <w:lang w:eastAsia="en-US"/>
              </w:rPr>
              <w:t>monitorowa</w:t>
            </w:r>
            <w:r w:rsidR="00BD595F" w:rsidRPr="00915CAA">
              <w:rPr>
                <w:rFonts w:ascii="Century Gothic" w:hAnsi="Century Gothic"/>
                <w:b w:val="0"/>
                <w:sz w:val="20"/>
                <w:szCs w:val="20"/>
                <w:lang w:eastAsia="en-US"/>
              </w:rPr>
              <w:t>nia pacjenta, wentylacji oraz hemodializy, a także</w:t>
            </w:r>
            <w:r w:rsidR="00D31E77" w:rsidRPr="00915CAA">
              <w:rPr>
                <w:rFonts w:ascii="Century Gothic" w:hAnsi="Century Gothic"/>
                <w:b w:val="0"/>
                <w:sz w:val="20"/>
                <w:szCs w:val="20"/>
                <w:lang w:eastAsia="en-US"/>
              </w:rPr>
              <w:t xml:space="preserve"> wielowarstwową</w:t>
            </w:r>
            <w:r w:rsidR="00BD595F" w:rsidRPr="00915CAA">
              <w:rPr>
                <w:rFonts w:ascii="Century Gothic" w:hAnsi="Century Gothic"/>
                <w:b w:val="0"/>
                <w:sz w:val="20"/>
                <w:szCs w:val="20"/>
                <w:lang w:eastAsia="en-US"/>
              </w:rPr>
              <w:t xml:space="preserve"> analizę informacji</w:t>
            </w:r>
            <w:r w:rsidR="00D31E77" w:rsidRPr="00915CAA">
              <w:rPr>
                <w:rFonts w:ascii="Century Gothic" w:hAnsi="Century Gothic"/>
                <w:b w:val="0"/>
                <w:sz w:val="20"/>
                <w:szCs w:val="20"/>
                <w:lang w:eastAsia="en-US"/>
              </w:rPr>
              <w:t xml:space="preserve"> zarówno dla całości OIOM jak i  poszczególnych stanowisk pacjentów.</w:t>
            </w:r>
            <w:r w:rsidR="00215BBA" w:rsidRPr="00915CAA">
              <w:rPr>
                <w:rFonts w:ascii="Century Gothic" w:hAnsi="Century Gothic"/>
                <w:b w:val="0"/>
                <w:sz w:val="20"/>
                <w:szCs w:val="20"/>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371201"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371201" w:rsidRPr="00915CAA" w:rsidRDefault="00371201"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371201" w:rsidRPr="00915CAA" w:rsidRDefault="00371201"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Ujednolicony panel sterowania w pompach </w:t>
            </w:r>
            <w:proofErr w:type="spellStart"/>
            <w:r w:rsidRPr="00915CAA">
              <w:rPr>
                <w:rFonts w:ascii="Century Gothic" w:hAnsi="Century Gothic"/>
                <w:b w:val="0"/>
                <w:sz w:val="20"/>
                <w:szCs w:val="20"/>
                <w:lang w:eastAsia="en-US"/>
              </w:rPr>
              <w:t>strzykawkowych</w:t>
            </w:r>
            <w:proofErr w:type="spellEnd"/>
            <w:r w:rsidRPr="00915CAA">
              <w:rPr>
                <w:rFonts w:ascii="Century Gothic" w:hAnsi="Century Gothic"/>
                <w:b w:val="0"/>
                <w:sz w:val="20"/>
                <w:szCs w:val="20"/>
                <w:lang w:eastAsia="en-US"/>
              </w:rPr>
              <w:t xml:space="preserve"> i objętościowych</w:t>
            </w:r>
          </w:p>
        </w:tc>
        <w:tc>
          <w:tcPr>
            <w:tcW w:w="1559"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podać</w:t>
            </w:r>
          </w:p>
        </w:tc>
        <w:tc>
          <w:tcPr>
            <w:tcW w:w="4534"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371201" w:rsidRPr="00915CAA" w:rsidRDefault="00371201" w:rsidP="00915CAA">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1 pkt</w:t>
            </w:r>
            <w:r w:rsidR="00915CAA">
              <w:rPr>
                <w:rFonts w:ascii="Century Gothic" w:hAnsi="Century Gothic"/>
                <w:bCs/>
                <w:sz w:val="20"/>
                <w:szCs w:val="20"/>
                <w:lang w:eastAsia="en-US"/>
              </w:rPr>
              <w:t xml:space="preserve"> </w:t>
            </w:r>
            <w:r w:rsidRPr="00915CAA">
              <w:rPr>
                <w:rFonts w:ascii="Century Gothic" w:hAnsi="Century Gothic"/>
                <w:bCs/>
                <w:sz w:val="20"/>
                <w:szCs w:val="20"/>
                <w:lang w:eastAsia="en-US"/>
              </w:rPr>
              <w:t>- TAK</w:t>
            </w:r>
          </w:p>
          <w:p w:rsidR="00371201" w:rsidRPr="00915CAA" w:rsidRDefault="00371201" w:rsidP="00915CAA">
            <w:pPr>
              <w:widowControl w:val="0"/>
              <w:snapToGrid w:val="0"/>
              <w:jc w:val="center"/>
              <w:rPr>
                <w:rFonts w:ascii="Century Gothic" w:hAnsi="Century Gothic"/>
                <w:bCs/>
                <w:sz w:val="20"/>
                <w:szCs w:val="20"/>
                <w:lang w:eastAsia="en-US"/>
              </w:rPr>
            </w:pPr>
            <w:r w:rsidRPr="00915CAA">
              <w:rPr>
                <w:rFonts w:ascii="Century Gothic" w:hAnsi="Century Gothic"/>
                <w:bCs/>
                <w:sz w:val="20"/>
                <w:szCs w:val="20"/>
                <w:lang w:eastAsia="en-US"/>
              </w:rPr>
              <w:t>0 pkt - NIE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862DFB" w:rsidRDefault="00862DFB" w:rsidP="001B21D0">
            <w:pPr>
              <w:pStyle w:val="Nagwek3"/>
              <w:snapToGrid w:val="0"/>
              <w:spacing w:line="276" w:lineRule="auto"/>
              <w:ind w:left="0" w:firstLine="0"/>
              <w:rPr>
                <w:rFonts w:ascii="Century Gothic" w:hAnsi="Century Gothic"/>
                <w:b w:val="0"/>
                <w:sz w:val="20"/>
                <w:szCs w:val="20"/>
                <w:highlight w:val="yellow"/>
                <w:lang w:eastAsia="en-US"/>
              </w:rPr>
            </w:pPr>
            <w:r w:rsidRPr="00862DFB">
              <w:rPr>
                <w:rFonts w:ascii="Century Gothic" w:hAnsi="Century Gothic"/>
                <w:b w:val="0"/>
                <w:sz w:val="20"/>
                <w:szCs w:val="20"/>
                <w:highlight w:val="yellow"/>
                <w:lang w:eastAsia="en-US"/>
              </w:rPr>
              <w:t>Wszystkie zaoferowane urządzenia w części 1 kompatybilne. Pompy i stacje w pełni przystosowane do współpracy z zaoferowanym (wymaganym przez zamawiającego) oprogramowaniem do infuzji.(ten sam producent oprogramowania)</w:t>
            </w:r>
            <w:bookmarkStart w:id="0" w:name="_GoBack"/>
            <w:bookmarkEnd w:id="0"/>
          </w:p>
        </w:tc>
        <w:tc>
          <w:tcPr>
            <w:tcW w:w="1559"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8913F8" w:rsidRPr="00915CAA" w:rsidTr="008C66D1">
        <w:tc>
          <w:tcPr>
            <w:tcW w:w="14567" w:type="dxa"/>
            <w:gridSpan w:val="5"/>
            <w:tcBorders>
              <w:top w:val="single" w:sz="4" w:space="0" w:color="auto"/>
              <w:left w:val="single" w:sz="4" w:space="0" w:color="auto"/>
              <w:bottom w:val="single" w:sz="4" w:space="0" w:color="auto"/>
              <w:right w:val="single" w:sz="4" w:space="0" w:color="auto"/>
            </w:tcBorders>
          </w:tcPr>
          <w:p w:rsidR="008913F8" w:rsidRPr="00915CAA" w:rsidRDefault="008913F8" w:rsidP="008C66D1">
            <w:pPr>
              <w:snapToGrid w:val="0"/>
              <w:jc w:val="center"/>
              <w:rPr>
                <w:rFonts w:ascii="Century Gothic" w:hAnsi="Century Gothic"/>
                <w:sz w:val="20"/>
                <w:szCs w:val="20"/>
              </w:rPr>
            </w:pPr>
            <w:r w:rsidRPr="00915CAA">
              <w:rPr>
                <w:rFonts w:ascii="Century Gothic" w:hAnsi="Century Gothic"/>
                <w:color w:val="000000"/>
                <w:sz w:val="20"/>
                <w:szCs w:val="20"/>
              </w:rPr>
              <w:t xml:space="preserve">Pompy </w:t>
            </w:r>
            <w:proofErr w:type="spellStart"/>
            <w:r w:rsidRPr="00915CAA">
              <w:rPr>
                <w:rFonts w:ascii="Century Gothic" w:hAnsi="Century Gothic"/>
                <w:color w:val="000000"/>
                <w:sz w:val="20"/>
                <w:szCs w:val="20"/>
              </w:rPr>
              <w:t>strzykawkowe</w:t>
            </w:r>
            <w:proofErr w:type="spellEnd"/>
            <w:r w:rsidRPr="00915CAA">
              <w:rPr>
                <w:rFonts w:ascii="Century Gothic" w:hAnsi="Century Gothic"/>
                <w:color w:val="000000"/>
                <w:sz w:val="20"/>
                <w:szCs w:val="20"/>
              </w:rPr>
              <w:t xml:space="preserve"> (biblioteka leków) – 574 szt.</w:t>
            </w:r>
          </w:p>
        </w:tc>
      </w:tr>
      <w:tr w:rsidR="008913F8" w:rsidRPr="00915CAA" w:rsidTr="00915CAA">
        <w:trPr>
          <w:trHeight w:val="765"/>
        </w:trPr>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216B8">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4D58EA">
            <w:pPr>
              <w:snapToGrid w:val="0"/>
              <w:jc w:val="center"/>
              <w:rPr>
                <w:rFonts w:ascii="Century Gothic" w:hAnsi="Century Gothic"/>
                <w:sz w:val="20"/>
                <w:szCs w:val="20"/>
              </w:rPr>
            </w:pPr>
            <w:r w:rsidRPr="00915CAA">
              <w:rPr>
                <w:rFonts w:ascii="Century Gothic" w:hAnsi="Century Gothic"/>
                <w:sz w:val="20"/>
                <w:szCs w:val="20"/>
              </w:rPr>
              <w:t>0,2</w:t>
            </w:r>
            <w:r w:rsidR="00915CAA">
              <w:rPr>
                <w:rFonts w:ascii="Century Gothic" w:hAnsi="Century Gothic"/>
                <w:sz w:val="20"/>
                <w:szCs w:val="20"/>
              </w:rPr>
              <w:t xml:space="preserve"> pkt z</w:t>
            </w:r>
            <w:r w:rsidR="008913F8" w:rsidRPr="00915CAA">
              <w:rPr>
                <w:rFonts w:ascii="Century Gothic" w:hAnsi="Century Gothic"/>
                <w:sz w:val="20"/>
                <w:szCs w:val="20"/>
              </w:rPr>
              <w:t>a najwyższy stopień IP,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Bateria o krótkim czasie ładowania (podać dokładny czas ładowania od trybu pełnego rozładowania, aż do trybu pełnego naładowania nowego egzemplarza (podany przez producenta)</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TAK</w:t>
            </w:r>
          </w:p>
          <w:p w:rsidR="008913F8" w:rsidRPr="00915CAA" w:rsidRDefault="008913F8" w:rsidP="00DB6159">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DB6159">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1A0751">
            <w:pPr>
              <w:snapToGrid w:val="0"/>
              <w:jc w:val="center"/>
              <w:rPr>
                <w:rFonts w:ascii="Century Gothic" w:hAnsi="Century Gothic"/>
                <w:sz w:val="20"/>
                <w:szCs w:val="20"/>
              </w:rPr>
            </w:pPr>
            <w:r w:rsidRPr="00915CAA">
              <w:rPr>
                <w:rFonts w:ascii="Century Gothic" w:hAnsi="Century Gothic"/>
                <w:sz w:val="20"/>
                <w:szCs w:val="20"/>
              </w:rPr>
              <w:t xml:space="preserve">Tak – </w:t>
            </w:r>
            <w:r w:rsidR="001A0751" w:rsidRPr="00915CAA">
              <w:rPr>
                <w:rFonts w:ascii="Century Gothic" w:hAnsi="Century Gothic"/>
                <w:sz w:val="20"/>
                <w:szCs w:val="20"/>
              </w:rPr>
              <w:t>0,5</w:t>
            </w:r>
            <w:r w:rsidRPr="00915CAA">
              <w:rPr>
                <w:rFonts w:ascii="Century Gothic" w:hAnsi="Century Gothic"/>
                <w:sz w:val="20"/>
                <w:szCs w:val="20"/>
              </w:rPr>
              <w:t xml:space="preserve"> pkt, Nie –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D4395A">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F35A1E">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Lub</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Wskaźnik stanu naładowania akumulatora na obudowie pompy widoczny przy włączonej i wyłączonej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C2792A">
            <w:pPr>
              <w:snapToGrid w:val="0"/>
              <w:jc w:val="both"/>
              <w:rPr>
                <w:rFonts w:ascii="Century Gothic" w:hAnsi="Century Gothic"/>
                <w:sz w:val="20"/>
                <w:szCs w:val="20"/>
              </w:rPr>
            </w:pPr>
            <w:r w:rsidRPr="00915CAA">
              <w:rPr>
                <w:rFonts w:ascii="Century Gothic" w:hAnsi="Century Gothic"/>
                <w:sz w:val="20"/>
                <w:szCs w:val="20"/>
              </w:rPr>
              <w:t xml:space="preserve">Wbudowany w pompie, system mocowania na szynie medycznej oraz na masztach infuzyjnych bez dodatkowo montowanych uchwytów lub z dodatkowo montowanymi uchwytami.(dla </w:t>
            </w:r>
            <w:r w:rsidR="00C2792A" w:rsidRPr="00915CAA">
              <w:rPr>
                <w:rFonts w:ascii="Century Gothic" w:hAnsi="Century Gothic"/>
                <w:sz w:val="20"/>
                <w:szCs w:val="20"/>
              </w:rPr>
              <w:t>15</w:t>
            </w:r>
            <w:r w:rsidRPr="00915CAA">
              <w:rPr>
                <w:rFonts w:ascii="Century Gothic" w:hAnsi="Century Gothic"/>
                <w:sz w:val="20"/>
                <w:szCs w:val="20"/>
              </w:rPr>
              <w:t>%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dekodowalnego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429">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w:t>
            </w:r>
            <w:r w:rsidR="008913F8" w:rsidRPr="00915CAA">
              <w:rPr>
                <w:rFonts w:ascii="Century Gothic" w:hAnsi="Century Gothic"/>
                <w:sz w:val="20"/>
                <w:szCs w:val="20"/>
              </w:rPr>
              <w:t>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CF262D">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915CAA">
            <w:pPr>
              <w:pStyle w:val="Akapitzlist"/>
              <w:numPr>
                <w:ilvl w:val="0"/>
                <w:numId w:val="17"/>
              </w:numPr>
              <w:suppressAutoHyphens w:val="0"/>
              <w:spacing w:before="100" w:beforeAutospacing="1" w:after="100" w:afterAutospacing="1" w:line="288" w:lineRule="auto"/>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C2792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BA61A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A63FA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152636">
            <w:pPr>
              <w:snapToGrid w:val="0"/>
              <w:jc w:val="center"/>
              <w:rPr>
                <w:rFonts w:ascii="Century Gothic" w:hAnsi="Century Gothic"/>
                <w:sz w:val="20"/>
                <w:szCs w:val="20"/>
              </w:rPr>
            </w:pPr>
            <w:r w:rsidRPr="00915CAA">
              <w:rPr>
                <w:rFonts w:ascii="Century Gothic" w:hAnsi="Century Gothic"/>
                <w:sz w:val="20"/>
                <w:szCs w:val="20"/>
              </w:rPr>
              <w:t>0,5</w:t>
            </w:r>
            <w:r w:rsidR="008913F8" w:rsidRPr="00915CAA">
              <w:rPr>
                <w:rFonts w:ascii="Century Gothic" w:hAnsi="Century Gothic"/>
                <w:sz w:val="20"/>
                <w:szCs w:val="20"/>
              </w:rPr>
              <w:t xml:space="preserve"> pkt za ekran wbudowany w pompę o największej powierzchni wyświetlacza, pozostałe 0 pkt. </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 xml:space="preserve">Historia zdarzeń, przechowywana w pamięci pompy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FB3281">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1 pkt za największą ilość zdarzeń,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2C3D8E">
            <w:pPr>
              <w:snapToGrid w:val="0"/>
              <w:jc w:val="center"/>
              <w:rPr>
                <w:rFonts w:ascii="Century Gothic" w:hAnsi="Century Gothic"/>
                <w:color w:val="FF0000"/>
                <w:sz w:val="20"/>
                <w:szCs w:val="20"/>
              </w:rPr>
            </w:pPr>
            <w:r w:rsidRPr="00915CAA">
              <w:rPr>
                <w:rFonts w:ascii="Century Gothic" w:hAnsi="Century Gothic"/>
                <w:sz w:val="20"/>
                <w:szCs w:val="20"/>
              </w:rPr>
              <w:t>Dodatkowa praca ze strzykawkami 2/3 ml – 1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B81B98">
            <w:pPr>
              <w:snapToGrid w:val="0"/>
              <w:jc w:val="center"/>
              <w:rPr>
                <w:rFonts w:ascii="Century Gothic" w:hAnsi="Century Gothic"/>
                <w:color w:val="FF0000"/>
                <w:sz w:val="20"/>
                <w:szCs w:val="20"/>
              </w:rPr>
            </w:pPr>
            <w:r w:rsidRPr="00915CAA">
              <w:rPr>
                <w:rFonts w:ascii="Century Gothic" w:hAnsi="Century Gothic"/>
                <w:sz w:val="20"/>
                <w:szCs w:val="20"/>
              </w:rPr>
              <w:t>1 pkt za najwyższą prędkość, 0 pkt za pozostałe</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91906">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Dokładność systemu przy szy</w:t>
            </w:r>
            <w:r w:rsidR="00915CAA">
              <w:rPr>
                <w:rFonts w:ascii="Century Gothic" w:hAnsi="Century Gothic"/>
                <w:sz w:val="20"/>
                <w:szCs w:val="20"/>
              </w:rPr>
              <w:t>bkości 1 ml/</w:t>
            </w:r>
            <w:proofErr w:type="spellStart"/>
            <w:r w:rsidR="00915CAA">
              <w:rPr>
                <w:rFonts w:ascii="Century Gothic" w:hAnsi="Century Gothic"/>
                <w:sz w:val="20"/>
                <w:szCs w:val="20"/>
              </w:rPr>
              <w:t>godz</w:t>
            </w:r>
            <w:proofErr w:type="spellEnd"/>
            <w:r w:rsidR="00915CAA">
              <w:rPr>
                <w:rFonts w:ascii="Century Gothic" w:hAnsi="Century Gothic"/>
                <w:sz w:val="20"/>
                <w:szCs w:val="20"/>
              </w:rPr>
              <w:t xml:space="preserve"> i powyżej – </w:t>
            </w:r>
            <w:r w:rsidRPr="00915CAA">
              <w:rPr>
                <w:rFonts w:ascii="Century Gothic" w:hAnsi="Century Gothic"/>
                <w:sz w:val="20"/>
                <w:szCs w:val="20"/>
              </w:rPr>
              <w:t>(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center"/>
              <w:rPr>
                <w:rFonts w:ascii="Century Gothic" w:hAnsi="Century Gothic"/>
                <w:sz w:val="20"/>
                <w:szCs w:val="20"/>
              </w:rPr>
            </w:pPr>
            <w:r w:rsidRPr="00915CAA">
              <w:rPr>
                <w:rFonts w:ascii="Century Gothic" w:hAnsi="Century Gothic"/>
                <w:sz w:val="20"/>
                <w:szCs w:val="20"/>
              </w:rPr>
              <w:t>Najwyższa dokładność – 2 pkt. Pozostałe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24godziny, godzinę oraz minutę).</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78584E">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A5CCB">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czyli zabezpieczanie przed podaniem niekontrolowanego bolusa po alarmie okluzji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od 0,5 do 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67F45">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106E9">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3619">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maksymalnie  250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Wyświetlanie wybranej przez Użytkownika nazwy leku na ekranie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eastAsia="Batang"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6A695E">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2073B">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32073B">
            <w:pPr>
              <w:snapToGrid w:val="0"/>
              <w:jc w:val="both"/>
              <w:rPr>
                <w:rFonts w:ascii="Century Gothic" w:hAnsi="Century Gothic"/>
                <w:sz w:val="20"/>
                <w:szCs w:val="20"/>
              </w:rPr>
            </w:pP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32073B">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32073B">
            <w:pPr>
              <w:snapToGrid w:val="0"/>
              <w:jc w:val="center"/>
              <w:rPr>
                <w:rFonts w:ascii="Century Gothic" w:hAnsi="Century Gothic"/>
                <w:sz w:val="20"/>
                <w:szCs w:val="20"/>
              </w:rPr>
            </w:pPr>
            <w:r w:rsidRPr="00915CAA">
              <w:rPr>
                <w:rFonts w:ascii="Century Gothic" w:hAnsi="Century Gothic"/>
                <w:sz w:val="20"/>
                <w:szCs w:val="20"/>
              </w:rPr>
              <w:t xml:space="preserve">TAK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b/>
                <w:sz w:val="20"/>
                <w:szCs w:val="20"/>
              </w:rPr>
            </w:pPr>
            <w:r w:rsidRPr="00915CAA">
              <w:rPr>
                <w:rFonts w:ascii="Century Gothic" w:hAnsi="Century Gothic"/>
                <w:b/>
                <w:sz w:val="20"/>
                <w:szCs w:val="20"/>
              </w:rPr>
              <w:t>Alarmy optyczne i akustyczne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66D1">
            <w:pPr>
              <w:snapToGrid w:val="0"/>
              <w:jc w:val="both"/>
              <w:rPr>
                <w:rFonts w:ascii="Century Gothic" w:hAnsi="Century Gothic"/>
                <w:sz w:val="20"/>
                <w:szCs w:val="20"/>
              </w:rPr>
            </w:pPr>
            <w:r w:rsidRPr="00915CAA">
              <w:rPr>
                <w:rFonts w:ascii="Century Gothic" w:hAnsi="Century Gothic"/>
                <w:sz w:val="20"/>
                <w:szCs w:val="20"/>
              </w:rPr>
              <w:t xml:space="preserve">Bliskiego końca infuzji </w:t>
            </w:r>
          </w:p>
          <w:p w:rsidR="00A03535" w:rsidRPr="00915CAA" w:rsidRDefault="00A03535" w:rsidP="00377A12">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napToGrid w:val="0"/>
              <w:jc w:val="both"/>
              <w:rPr>
                <w:rFonts w:ascii="Century Gothic" w:hAnsi="Century Gothic"/>
                <w:sz w:val="20"/>
                <w:szCs w:val="20"/>
              </w:rPr>
            </w:pPr>
            <w:r w:rsidRPr="00915CAA">
              <w:rPr>
                <w:rFonts w:ascii="Century Gothic" w:hAnsi="Century Gothic"/>
                <w:sz w:val="20"/>
                <w:szCs w:val="20"/>
              </w:rPr>
              <w:t>Końca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AF5A85">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6A695E">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1850BD">
            <w:pPr>
              <w:snapToGrid w:val="0"/>
              <w:jc w:val="both"/>
              <w:rPr>
                <w:rFonts w:ascii="Century Gothic" w:hAnsi="Century Gothic"/>
                <w:sz w:val="20"/>
                <w:szCs w:val="20"/>
              </w:rPr>
            </w:pPr>
            <w:r w:rsidRPr="00915CAA">
              <w:rPr>
                <w:rFonts w:ascii="Century Gothic" w:hAnsi="Century Gothic"/>
                <w:sz w:val="20"/>
                <w:szCs w:val="20"/>
              </w:rPr>
              <w:t xml:space="preserve">Złego zamocowania strzykawki ze wskazaniem miejsca gdzie to nastąpiło lub w przypadku napędu automatycznego – komunikat nieznana strzykawka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uppressAutoHyphens w:val="0"/>
              <w:spacing w:after="200" w:line="276" w:lineRule="auto"/>
              <w:rPr>
                <w:rFonts w:ascii="Century Gothic" w:hAnsi="Century Gothic"/>
                <w:sz w:val="20"/>
                <w:szCs w:val="20"/>
              </w:rPr>
            </w:pPr>
            <w:r w:rsidRPr="00915CAA">
              <w:rPr>
                <w:rFonts w:ascii="Century Gothic" w:hAnsi="Century Gothic"/>
                <w:sz w:val="20"/>
                <w:szCs w:val="20"/>
              </w:rPr>
              <w:t>Alarm zbliżającego się rozładowania akumulatora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Możliwość łączenie i zasilania jednym przewodem pompy w moduły min po 2 pompy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382231">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rPr>
          <w:trHeight w:val="735"/>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Ustawianie poziomu ciśnienia okluzji –  min. 3 jednostki do wyboru –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kPa</w:t>
            </w:r>
            <w:proofErr w:type="spellEnd"/>
            <w:r w:rsidRPr="00915CAA">
              <w:rPr>
                <w:rFonts w:ascii="Century Gothic" w:hAnsi="Century Gothic"/>
                <w:sz w:val="20"/>
                <w:szCs w:val="20"/>
              </w:rPr>
              <w:t>, PSI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75BCD">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0,5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0329C">
            <w:pPr>
              <w:snapToGrid w:val="0"/>
              <w:jc w:val="both"/>
              <w:rPr>
                <w:rFonts w:ascii="Century Gothic" w:hAnsi="Century Gothic"/>
                <w:sz w:val="20"/>
                <w:szCs w:val="20"/>
              </w:rPr>
            </w:pPr>
            <w:r w:rsidRPr="00915CAA">
              <w:rPr>
                <w:rFonts w:ascii="Century Gothic" w:hAnsi="Century Gothic"/>
                <w:sz w:val="20"/>
                <w:szCs w:val="20"/>
              </w:rPr>
              <w:t>Funkcja programowania czasu infuzji przynajmniej od min. 1 – 96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333C64">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tabs>
                <w:tab w:val="left" w:pos="225"/>
                <w:tab w:val="center" w:pos="813"/>
              </w:tabs>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 xml:space="preserve">Pozostałe – 0 </w:t>
            </w:r>
            <w:proofErr w:type="spellStart"/>
            <w:r w:rsidRPr="00915CAA">
              <w:rPr>
                <w:rFonts w:ascii="Century Gothic" w:hAnsi="Century Gothic"/>
                <w:sz w:val="20"/>
                <w:szCs w:val="20"/>
              </w:rPr>
              <w:t>pky</w:t>
            </w:r>
            <w:proofErr w:type="spellEnd"/>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Nie-0pkt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0829D4">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color w:val="FF0000"/>
                <w:sz w:val="20"/>
                <w:szCs w:val="20"/>
              </w:rPr>
            </w:pPr>
            <w:r w:rsidRPr="00915CAA">
              <w:rPr>
                <w:rFonts w:ascii="Century Gothic" w:hAnsi="Century Gothic"/>
                <w:sz w:val="20"/>
                <w:szCs w:val="20"/>
              </w:rPr>
              <w:t xml:space="preserve">Pompy </w:t>
            </w:r>
            <w:proofErr w:type="spellStart"/>
            <w:r w:rsidRPr="00915CAA">
              <w:rPr>
                <w:rFonts w:ascii="Century Gothic" w:hAnsi="Century Gothic"/>
                <w:sz w:val="20"/>
                <w:szCs w:val="20"/>
              </w:rPr>
              <w:t>strzykawkowe</w:t>
            </w:r>
            <w:proofErr w:type="spellEnd"/>
            <w:r w:rsidRPr="00915CAA">
              <w:rPr>
                <w:rFonts w:ascii="Century Gothic" w:hAnsi="Century Gothic"/>
                <w:sz w:val="20"/>
                <w:szCs w:val="20"/>
              </w:rPr>
              <w:t xml:space="preserve"> (biblioteka leków, pomiar w linii) – 65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E3E15">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2A8E">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1E50F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Niezależny wskaźnik stanu naładowania akumulatora pompy wyświetlający poziom naładowania/rozładowania akumulatora. Wskaźnik przedstawiać ma użytkownikowi orientacyjny poziom naładowania/rozładowania akumulatora w danej chwili, dlatego Zamawiający  dopuszcza prezentację </w:t>
            </w:r>
            <w:r w:rsidRPr="00915CAA">
              <w:rPr>
                <w:rFonts w:ascii="Century Gothic" w:hAnsi="Century Gothic"/>
                <w:sz w:val="20"/>
                <w:szCs w:val="20"/>
              </w:rPr>
              <w:lastRenderedPageBreak/>
              <w:t>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lastRenderedPageBreak/>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1 pkt – za najniższy ciężar ,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50701">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(cm2)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24 godzinny, umożliwiający przegląd 24 godzinnego rejestru objętości płynów podanych we wlewie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both"/>
              <w:rPr>
                <w:rFonts w:ascii="Century Gothic" w:hAnsi="Century Gothic"/>
                <w:sz w:val="20"/>
                <w:szCs w:val="20"/>
              </w:rPr>
            </w:pPr>
            <w:r w:rsidRPr="00915CAA">
              <w:rPr>
                <w:rFonts w:ascii="Century Gothic" w:hAnsi="Century Gothic"/>
                <w:sz w:val="20"/>
                <w:szCs w:val="20"/>
              </w:rPr>
              <w:t>Dodatkowa praca ze strzykawkami 2/3 ml – 1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0,5 pkt za najwyższą prędkość, 0 pkt za 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systemu przy szybkości 1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i powyżej –    (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Najwyższa dokładność – 1 pkt. 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24godziny, godzinę oraz minutę).</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w jednostkach masy w stosunku do czasu infuzji oraz w jednostkach masy w stosunku od ciężaru ciała pacjenta i czasu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wypełnienia drenu z prędkością regulowaną w zakresie 100 – 500 ml/h, z zakresem </w:t>
            </w:r>
            <w:proofErr w:type="spellStart"/>
            <w:r w:rsidRPr="00915CAA">
              <w:rPr>
                <w:rFonts w:ascii="Century Gothic" w:hAnsi="Century Gothic"/>
                <w:sz w:val="20"/>
                <w:szCs w:val="20"/>
              </w:rPr>
              <w:t>objetosci</w:t>
            </w:r>
            <w:proofErr w:type="spellEnd"/>
            <w:r w:rsidRPr="00915CAA">
              <w:rPr>
                <w:rFonts w:ascii="Century Gothic" w:hAnsi="Century Gothic"/>
                <w:sz w:val="20"/>
                <w:szCs w:val="20"/>
              </w:rPr>
              <w:t xml:space="preserve"> od 0,5 do 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min. od 0,5 do 5 ml.</w:t>
            </w:r>
            <w:r w:rsidRPr="00915CAA">
              <w:rPr>
                <w:rFonts w:ascii="Century Gothic" w:hAnsi="Century Gothic"/>
                <w:sz w:val="20"/>
                <w:szCs w:val="20"/>
              </w:rPr>
              <w:tab/>
            </w:r>
            <w:r w:rsidRPr="00915CAA">
              <w:rPr>
                <w:rFonts w:ascii="Century Gothic" w:hAnsi="Century Gothic"/>
                <w:sz w:val="20"/>
                <w:szCs w:val="20"/>
              </w:rPr>
              <w:tab/>
            </w:r>
            <w:r w:rsidRPr="00915CAA">
              <w:rPr>
                <w:rFonts w:ascii="Century Gothic" w:hAnsi="Century Gothic"/>
                <w:sz w:val="20"/>
                <w:szCs w:val="20"/>
              </w:rPr>
              <w:tab/>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minimum 20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E428C1">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minimalnie 250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z dużymi literami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37854">
            <w:pPr>
              <w:snapToGrid w:val="0"/>
              <w:jc w:val="both"/>
              <w:rPr>
                <w:rFonts w:ascii="Century Gothic" w:hAnsi="Century Gothic"/>
                <w:sz w:val="20"/>
                <w:szCs w:val="20"/>
              </w:rPr>
            </w:pPr>
            <w:r w:rsidRPr="00915CAA">
              <w:rPr>
                <w:rFonts w:ascii="Century Gothic" w:hAnsi="Century Gothic"/>
                <w:sz w:val="20"/>
                <w:szCs w:val="20"/>
              </w:rPr>
              <w:t>Bezpośredni pomiar ciśnienia w linii infuzyjnej (z użyciem lub bez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 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color w:val="FF0000"/>
                <w:sz w:val="20"/>
                <w:szCs w:val="20"/>
              </w:rPr>
            </w:pPr>
            <w:r w:rsidRPr="00915CAA">
              <w:rPr>
                <w:rFonts w:ascii="Century Gothic" w:hAnsi="Century Gothic"/>
                <w:sz w:val="20"/>
                <w:szCs w:val="20"/>
              </w:rPr>
              <w:t xml:space="preserve">&gt;15 poziomów 1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Prezentacja trendów ciśnienia, wyświetlanych na ekranie pompy lub wskazanie aktualnego ciśnienia w linii w czasie rzeczywistym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Bez pkt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Bliskiego końca infuzji z możliwością regulacji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Złego zamocowania strzykawki lub w przypadku napędu automatycznego – komunikat nieznana strzykawka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 – na 30 minut przed jej wyczerpaniem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Sygnalizacja wahań ciśnienia w linii. Pozwalająca przewidzieć niebezpieczeństwo pojawienia się okluzji lub nieszczelności</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0,5 pkt; nie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Bolus-min 2 rodzaje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-Bezpośredni - szybkości podaży 50 – 1200 ml/h,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-Programowany - dawka lub objętość/czas: 0,1-99,9 jednostek / 0,1  - 1200 ml, automatyczne wyliczenie czasu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manualne przesunięcie tłoka strzykawki z funkcją zliczania i prezentacji podanej objętości na ekranie urządzenia:</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3 rodzaje bolusa 0,5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=&lt;2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eastAsia="Batang" w:hAnsi="Century Gothic"/>
                <w:color w:val="FF0000"/>
                <w:sz w:val="20"/>
                <w:szCs w:val="20"/>
              </w:rPr>
            </w:pPr>
            <w:r w:rsidRPr="00915CAA">
              <w:rPr>
                <w:rFonts w:ascii="Century Gothic" w:hAnsi="Century Gothic"/>
                <w:sz w:val="20"/>
                <w:szCs w:val="20"/>
              </w:rPr>
              <w:t>Możliwość łączenie i zasilania jednym przewodem pompy w moduły min po 2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both"/>
              <w:rPr>
                <w:rFonts w:ascii="Century Gothic" w:eastAsia="Batang" w:hAnsi="Century Gothic"/>
                <w:color w:val="FF0000"/>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710248">
            <w:pPr>
              <w:snapToGrid w:val="0"/>
              <w:jc w:val="both"/>
              <w:rPr>
                <w:rFonts w:ascii="Century Gothic" w:eastAsia="Batang" w:hAnsi="Century Gothic"/>
                <w:color w:val="FF0000"/>
                <w:sz w:val="20"/>
                <w:szCs w:val="20"/>
              </w:rPr>
            </w:pPr>
            <w:r w:rsidRPr="00915CAA">
              <w:rPr>
                <w:rFonts w:ascii="Century Gothic" w:hAnsi="Century Gothic"/>
                <w:sz w:val="20"/>
                <w:szCs w:val="20"/>
              </w:rPr>
              <w:t>Funkcja programowania czasu infuzji przynajmniej od min. 1– 96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457F86">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71024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7C682C">
            <w:pPr>
              <w:snapToGrid w:val="0"/>
              <w:jc w:val="both"/>
              <w:rPr>
                <w:rFonts w:ascii="Century Gothic" w:hAnsi="Century Gothic"/>
                <w:color w:val="FF0000"/>
                <w:sz w:val="20"/>
                <w:szCs w:val="20"/>
              </w:rPr>
            </w:pPr>
            <w:r w:rsidRPr="00915CAA">
              <w:rPr>
                <w:rFonts w:ascii="Century Gothic" w:hAnsi="Century Gothic"/>
                <w:sz w:val="20"/>
                <w:szCs w:val="20"/>
              </w:rPr>
              <w:t>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Tak-1 pkt</w:t>
            </w:r>
          </w:p>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Nie-0pkt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22EA4">
            <w:pPr>
              <w:snapToGrid w:val="0"/>
              <w:jc w:val="both"/>
              <w:rPr>
                <w:rFonts w:ascii="Century Gothic" w:hAnsi="Century Gothic"/>
                <w:color w:val="FF0000"/>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pompy objętościowe  (biblioteka leków) - 261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0,2 pkt. Za najwyższy stopień IP,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53CD1">
            <w:pPr>
              <w:snapToGrid w:val="0"/>
              <w:jc w:val="both"/>
              <w:rPr>
                <w:rFonts w:ascii="Century Gothic" w:hAnsi="Century Gothic"/>
                <w:sz w:val="20"/>
                <w:szCs w:val="20"/>
              </w:rPr>
            </w:pPr>
            <w:r w:rsidRPr="00915CAA">
              <w:rPr>
                <w:rFonts w:ascii="Century Gothic" w:hAnsi="Century Gothic"/>
                <w:sz w:val="20"/>
                <w:szCs w:val="20"/>
              </w:rPr>
              <w:t>Pompa objętościowa do dożylnej podaży leków i płynów, krwi i produktów krwiopochodnych.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Dodatkowo żywienia pozajelitowego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przed swobodnym przepływem niezależnie w pompie i w drenie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Automatycznie uruchamiana blokada swobodnego przepływu w drenie po otwarciu drzwiczek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25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Dokładność podaży objętościowa min. ± 5%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TAK</w:t>
            </w: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31BAB">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STAND-BY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blokady ustawienia prędkości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Wbudowany w pompie, system mocowania na szynie medycznej oraz na masztach infuzyjnych bez </w:t>
            </w:r>
            <w:r w:rsidRPr="00915CAA">
              <w:rPr>
                <w:rFonts w:ascii="Century Gothic" w:hAnsi="Century Gothic"/>
                <w:sz w:val="20"/>
                <w:szCs w:val="20"/>
              </w:rPr>
              <w:lastRenderedPageBreak/>
              <w:t>dodatkowo montowanych uchwytów lub z dodatkowo montowanymi uchwytami.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demontowanego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Zatrzaskowy system mocowania do stacji dokującej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interfejs z systemem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 n</w:t>
            </w:r>
            <w:r w:rsidR="00A03535" w:rsidRPr="00915CAA">
              <w:rPr>
                <w:rFonts w:ascii="Century Gothic" w:hAnsi="Century Gothic"/>
                <w:sz w:val="20"/>
                <w:szCs w:val="20"/>
              </w:rPr>
              <w:t>ie więcej niż 2,5 kg</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275CF">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D7483">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ekran wbudowany w pompę o największej powierzchni wyświetlacza,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Historia zdarzeń, przechowywana w pamięci pompy dostępna dla personelu lub z urządzeniami dodatkowymi, o największej możliwej liczbie zdarzeń</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równoczesnego wyświetlenia na ekranie pompy nazwy leków zawierające największą możliwą liczbę znaków, z dużymi literami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Skuteczne zabezpieczenie wprowadzonych do pompy danych, których zmiany może dokonać tylko upoważniony administrator</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0,1- 9999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zaprogramowania objętości infuzji dla trwającego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krwi i preparatów krwiopochodnych poprzez zastosowanie dedykowanych aparatów do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1 pkt – </w:t>
            </w:r>
            <w:r w:rsidR="00D74B9E">
              <w:rPr>
                <w:rFonts w:ascii="Century Gothic" w:hAnsi="Century Gothic"/>
                <w:sz w:val="20"/>
                <w:szCs w:val="20"/>
              </w:rPr>
              <w:t xml:space="preserve">pompa posiada </w:t>
            </w:r>
            <w:r w:rsidRPr="00915CAA">
              <w:rPr>
                <w:rFonts w:ascii="Century Gothic" w:hAnsi="Century Gothic"/>
                <w:sz w:val="20"/>
                <w:szCs w:val="20"/>
              </w:rPr>
              <w:t>certyfikat świadczący o braku zjawiska hemolizy , w trakcie przetaczania krwi</w:t>
            </w:r>
            <w:r w:rsidR="00D74B9E">
              <w:rPr>
                <w:rFonts w:ascii="Century Gothic" w:hAnsi="Century Gothic"/>
                <w:sz w:val="20"/>
                <w:szCs w:val="20"/>
              </w:rPr>
              <w:t>,</w:t>
            </w:r>
            <w:r w:rsidRPr="00915CAA">
              <w:rPr>
                <w:rFonts w:ascii="Century Gothic" w:hAnsi="Century Gothic"/>
                <w:sz w:val="20"/>
                <w:szCs w:val="20"/>
              </w:rPr>
              <w:t xml:space="preserve">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5F4345">
            <w:pPr>
              <w:snapToGrid w:val="0"/>
              <w:jc w:val="both"/>
              <w:rPr>
                <w:rFonts w:ascii="Century Gothic" w:hAnsi="Century Gothic"/>
                <w:sz w:val="20"/>
                <w:szCs w:val="20"/>
              </w:rPr>
            </w:pPr>
            <w:r w:rsidRPr="00915CAA">
              <w:rPr>
                <w:rFonts w:ascii="Century Gothic" w:hAnsi="Century Gothic"/>
                <w:sz w:val="20"/>
                <w:szCs w:val="20"/>
              </w:rPr>
              <w:t>Możliwość pracy z zestawami typu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 lub Zamawiający  dopuści   możliwość pracy  z zestawami  o parametrach oczekiwanych w tym punkcie,  ale  nieokreślanymi jako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Podaży lipidów poprzez dedykowane aparaty z filtrem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Praca z zestawami z Biuretą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Dostępność łączników bezigłowych w zestawach dedykowanych do pomp objętościowych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infuzji podstawowej 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Niezależne programowanie infuzji podstawowej i dodatkowej przed rozpoczęciem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Wykrywanie pęcherzyków powietrza w drenie z możliwością określenia ich wielkości – podać wielkości pęcherzyków powietrza, jakie można zaprogramować – max. wielkość 500 µl; min. 4 ustawiane wielkości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Lub</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lastRenderedPageBreak/>
              <w:t>Funkcja wykrywania powietrza w linii z możliwością programowania rozmiaru wykrywanego pęcherzyka lub skumulowanego powietrza zmierzonego w ciągu 15 minut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w min. następujących trybach: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w ml/godz., jednostkach masowych w stosunku do czasu – wymienić jednostki, i w jednostkach masowych w stosunku do wagi pacjenta i czasu – wymienić jednostki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objętość infuzji do podania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objętość do podania + czas podaży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 kalkulatorem lekowym automatycznie  obliczającym dawkowanie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preferowana największa ilość dostępnych profili, ale nie mniej niż 10</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1 pkt</w:t>
            </w:r>
          </w:p>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za większą niż 10 ilość profili;</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za ilość &lt;= 10 profili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ustawienia minimalnych i maksymalnych limitów twardych, których nie można przekroczyć  i limitów miękkich, które po zatwierdzeniu można </w:t>
            </w:r>
            <w:r w:rsidRPr="00915CAA">
              <w:rPr>
                <w:rFonts w:ascii="Century Gothic" w:hAnsi="Century Gothic"/>
                <w:sz w:val="20"/>
                <w:szCs w:val="20"/>
              </w:rPr>
              <w:lastRenderedPageBreak/>
              <w:t>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E7BE2">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zatrzymanie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tryb KVO (utrzymanie drożności wlewu/naczynia – zapobieganie </w:t>
            </w:r>
            <w:proofErr w:type="spellStart"/>
            <w:r w:rsidRPr="00915CAA">
              <w:rPr>
                <w:rFonts w:ascii="Century Gothic" w:hAnsi="Century Gothic"/>
                <w:sz w:val="20"/>
                <w:szCs w:val="20"/>
              </w:rPr>
              <w:t>obturacji</w:t>
            </w:r>
            <w:proofErr w:type="spellEnd"/>
            <w:r w:rsidRPr="00915CAA">
              <w:rPr>
                <w:rFonts w:ascii="Century Gothic" w:hAnsi="Century Gothic"/>
                <w:sz w:val="20"/>
                <w:szCs w:val="20"/>
              </w:rPr>
              <w:t>) z regulacją prędkości podaży przez Użytkownika w zakresie nie mniejszym niż 0,1-20 ml/</w:t>
            </w:r>
            <w:proofErr w:type="spellStart"/>
            <w:r w:rsidRPr="00915CAA">
              <w:rPr>
                <w:rFonts w:ascii="Century Gothic" w:hAnsi="Century Gothic"/>
                <w:sz w:val="20"/>
                <w:szCs w:val="20"/>
              </w:rPr>
              <w:t>godz</w:t>
            </w:r>
            <w:proofErr w:type="spellEnd"/>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225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D74B9E">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rPr>
          <w:trHeight w:val="532"/>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wyborem przez Użytkownika prędkości w zakresie nie mniejszym niż 100-500 ml/godz. i objętości wypełnienia drenu w zakresie nie mniejszym niż 5-50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 liczbę progów konfiguracji</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w:t>
            </w:r>
            <w:r w:rsidR="00D74B9E">
              <w:rPr>
                <w:rFonts w:ascii="Century Gothic" w:hAnsi="Century Gothic"/>
                <w:sz w:val="20"/>
                <w:szCs w:val="20"/>
              </w:rPr>
              <w:t xml:space="preserve"> min następujących informacji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lastRenderedPageBreak/>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Graficzny obraz stanu ciśnienia - wybrane ciśnienie alarmu okluzji,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ikona stanu naładowania baterii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informacja o infuzji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pompy w systemie zarządzającym infuzjami poprzez stację dokującą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Zróżnicowany dwustopniowy system ostrzeżeń i alarmów akustycznych i optycznych (wizualnych) z wstrzymaniem infuzji dla alarmów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górnej (pomiędzy pompą a workiem)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dolnej (pomiędzy pompą a pacjentem)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otwartych drzwiczek</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nieprawidłowego zamocowania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użytego nieprawidłowego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braku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błędu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powietrza w linii – dla pojedynczego pęcherzyka powietrza przekraczającego limit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30D7B">
            <w:pPr>
              <w:snapToGrid w:val="0"/>
              <w:jc w:val="both"/>
              <w:rPr>
                <w:rFonts w:ascii="Century Gothic" w:hAnsi="Century Gothic"/>
                <w:sz w:val="20"/>
                <w:szCs w:val="20"/>
              </w:rPr>
            </w:pPr>
            <w:r w:rsidRPr="00915CAA">
              <w:rPr>
                <w:rFonts w:ascii="Century Gothic" w:hAnsi="Century Gothic"/>
                <w:sz w:val="20"/>
                <w:szCs w:val="20"/>
              </w:rPr>
              <w:t xml:space="preserve">Alarm powietrza w linii – dla skumulowanej objętości pęcherzyków powietrza – max. 1 ml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wstępny rozładowania baterii – na 30 minut przed jej wyczerpaniem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awarii urządzenia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Inne alarmy i ostrzeżenia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Pobór mocy przez pojedynczą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7056D4">
            <w:pPr>
              <w:snapToGrid w:val="0"/>
              <w:jc w:val="center"/>
              <w:rPr>
                <w:rFonts w:ascii="Century Gothic" w:hAnsi="Century Gothic"/>
                <w:sz w:val="20"/>
                <w:szCs w:val="20"/>
              </w:rPr>
            </w:pPr>
            <w:r w:rsidRPr="00915CAA">
              <w:rPr>
                <w:rFonts w:ascii="Century Gothic" w:hAnsi="Century Gothic"/>
                <w:sz w:val="20"/>
                <w:szCs w:val="20"/>
              </w:rPr>
              <w:t>Najmniejszy – 3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żywienia dojelitowego specjalnymi drenami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TAK</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 NIE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zajmowanej powierzchni, zajmowana przez pojedynczą pompę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stacja dokująca 4 pompy COM - 155 szt.</w:t>
            </w:r>
          </w:p>
          <w:p w:rsidR="00A03535" w:rsidRPr="00915CAA" w:rsidRDefault="00A03535" w:rsidP="002454E8">
            <w:pPr>
              <w:snapToGrid w:val="0"/>
              <w:jc w:val="center"/>
              <w:rPr>
                <w:rFonts w:ascii="Century Gothic" w:hAnsi="Century Gothic"/>
                <w:color w:val="FF0000"/>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673B16">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min 4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537C">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 przypadku rozbudowy system musi posiadać </w:t>
            </w:r>
            <w:r w:rsidRPr="00915CAA">
              <w:rPr>
                <w:rFonts w:ascii="Century Gothic" w:hAnsi="Century Gothic"/>
                <w:sz w:val="20"/>
                <w:szCs w:val="20"/>
              </w:rPr>
              <w:lastRenderedPageBreak/>
              <w:t>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C537C">
            <w:pPr>
              <w:snapToGrid w:val="0"/>
              <w:jc w:val="center"/>
              <w:rPr>
                <w:rFonts w:ascii="Century Gothic" w:hAnsi="Century Gothic"/>
                <w:sz w:val="20"/>
                <w:szCs w:val="20"/>
              </w:rPr>
            </w:pPr>
          </w:p>
          <w:p w:rsidR="00A03535" w:rsidRPr="00915CAA" w:rsidRDefault="00A03535" w:rsidP="008C537C">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C537C">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przeglądania z zewnętrznego komputera lub komputera w sieci statusu infuzji i rejestru zdarzeń </w:t>
            </w:r>
            <w:r w:rsidRPr="00915CAA">
              <w:rPr>
                <w:rFonts w:ascii="Century Gothic" w:hAnsi="Century Gothic"/>
                <w:sz w:val="20"/>
                <w:szCs w:val="20"/>
              </w:rPr>
              <w:lastRenderedPageBreak/>
              <w:t>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35D13">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rPr>
          <w:trHeight w:val="1346"/>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rsidTr="005D3019">
        <w:tc>
          <w:tcPr>
            <w:tcW w:w="14567" w:type="dxa"/>
            <w:gridSpan w:val="5"/>
            <w:tcBorders>
              <w:top w:val="single" w:sz="4" w:space="0" w:color="auto"/>
              <w:left w:val="single" w:sz="4" w:space="0" w:color="auto"/>
              <w:bottom w:val="single" w:sz="4" w:space="0" w:color="auto"/>
              <w:right w:val="single" w:sz="4" w:space="0" w:color="auto"/>
            </w:tcBorders>
          </w:tcPr>
          <w:p w:rsidR="00A03535" w:rsidRPr="00D74B9E" w:rsidRDefault="00A03535" w:rsidP="002C5FC5">
            <w:pPr>
              <w:snapToGrid w:val="0"/>
              <w:jc w:val="center"/>
              <w:rPr>
                <w:rFonts w:ascii="Century Gothic" w:hAnsi="Century Gothic"/>
                <w:sz w:val="20"/>
                <w:szCs w:val="20"/>
              </w:rPr>
            </w:pPr>
            <w:r w:rsidRPr="00915CAA">
              <w:rPr>
                <w:rFonts w:ascii="Century Gothic" w:hAnsi="Century Gothic"/>
                <w:sz w:val="20"/>
                <w:szCs w:val="20"/>
              </w:rPr>
              <w:t>stacja doku</w:t>
            </w:r>
            <w:r w:rsidR="00D74B9E">
              <w:rPr>
                <w:rFonts w:ascii="Century Gothic" w:hAnsi="Century Gothic"/>
                <w:sz w:val="20"/>
                <w:szCs w:val="20"/>
              </w:rPr>
              <w:t xml:space="preserve">jąca 6 lub 8 pomp COM – </w:t>
            </w:r>
            <w:r w:rsidR="00D74B9E" w:rsidRPr="002C5FC5">
              <w:rPr>
                <w:rFonts w:ascii="Century Gothic" w:hAnsi="Century Gothic"/>
                <w:sz w:val="20"/>
                <w:szCs w:val="20"/>
                <w:highlight w:val="yellow"/>
              </w:rPr>
              <w:t>5</w:t>
            </w:r>
            <w:r w:rsidR="002C5FC5" w:rsidRPr="002C5FC5">
              <w:rPr>
                <w:rFonts w:ascii="Century Gothic" w:hAnsi="Century Gothic"/>
                <w:sz w:val="20"/>
                <w:szCs w:val="20"/>
                <w:highlight w:val="yellow"/>
              </w:rPr>
              <w:t>6</w:t>
            </w:r>
            <w:r w:rsidR="00D74B9E" w:rsidRPr="002C5FC5">
              <w:rPr>
                <w:rFonts w:ascii="Century Gothic" w:hAnsi="Century Gothic"/>
                <w:sz w:val="20"/>
                <w:szCs w:val="20"/>
                <w:highlight w:val="yellow"/>
              </w:rPr>
              <w:t xml:space="preserve">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C5DFF">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6 - 8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trike/>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913F8">
            <w:pPr>
              <w:snapToGrid w:val="0"/>
              <w:jc w:val="center"/>
              <w:rPr>
                <w:rFonts w:ascii="Century Gothic" w:hAnsi="Century Gothic"/>
                <w:sz w:val="20"/>
                <w:szCs w:val="20"/>
              </w:rPr>
            </w:pPr>
          </w:p>
          <w:p w:rsidR="00A03535" w:rsidRPr="00915CAA" w:rsidRDefault="00A03535" w:rsidP="008913F8">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913F8">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Komunikacja ze szpitalną siecią komputerową i bezpośrednio z komputerem za pomocą interfejsu </w:t>
            </w:r>
            <w:r w:rsidRPr="00915CAA">
              <w:rPr>
                <w:rFonts w:ascii="Century Gothic" w:hAnsi="Century Gothic"/>
                <w:sz w:val="20"/>
                <w:szCs w:val="20"/>
              </w:rPr>
              <w:lastRenderedPageBreak/>
              <w:t>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BF2BCD">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rsidTr="00FD367C">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jc w:val="center"/>
              <w:rPr>
                <w:rFonts w:ascii="Century Gothic" w:hAnsi="Century Gothic"/>
                <w:sz w:val="20"/>
                <w:szCs w:val="20"/>
              </w:rPr>
            </w:pPr>
            <w:r w:rsidRPr="00915CAA">
              <w:rPr>
                <w:rFonts w:ascii="Century Gothic" w:hAnsi="Century Gothic"/>
                <w:sz w:val="20"/>
                <w:szCs w:val="20"/>
              </w:rPr>
              <w:t>Oprogramowanie z licencjami bezterminowymi do zarządzania infuzją – 1 szt. dla 65 stanowisk OIOM; w okresie użytkowania aktualizacje do najnowszych wersji</w:t>
            </w:r>
            <w:r w:rsidR="00D74B9E">
              <w:rPr>
                <w:rFonts w:ascii="Century Gothic" w:hAnsi="Century Gothic"/>
                <w:sz w:val="20"/>
                <w:szCs w:val="20"/>
              </w:rPr>
              <w:t xml:space="preserve"> (w cenie oferty)</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Platforma aplikacji do bezpiecznego i efektywnego zarządzania infuzją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027AE6">
            <w:pPr>
              <w:snapToGrid w:val="0"/>
              <w:jc w:val="center"/>
              <w:rPr>
                <w:rFonts w:ascii="Century Gothic" w:hAnsi="Century Gothic"/>
                <w:sz w:val="20"/>
                <w:szCs w:val="20"/>
              </w:rPr>
            </w:pPr>
            <w:r w:rsidRPr="00915CAA">
              <w:rPr>
                <w:rFonts w:ascii="Century Gothic" w:hAnsi="Century Gothic"/>
                <w:sz w:val="20"/>
                <w:szCs w:val="20"/>
              </w:rPr>
              <w:t>----</w:t>
            </w:r>
          </w:p>
        </w:tc>
      </w:tr>
      <w:tr w:rsidR="00DB46DA" w:rsidRPr="00915CAA" w:rsidTr="00D74B9E">
        <w:tc>
          <w:tcPr>
            <w:tcW w:w="675" w:type="dxa"/>
            <w:tcBorders>
              <w:top w:val="single" w:sz="4" w:space="0" w:color="auto"/>
              <w:left w:val="single" w:sz="4" w:space="0" w:color="auto"/>
              <w:bottom w:val="single" w:sz="4" w:space="0" w:color="auto"/>
              <w:right w:val="single" w:sz="4" w:space="0" w:color="auto"/>
            </w:tcBorders>
          </w:tcPr>
          <w:p w:rsidR="00DB46DA" w:rsidRPr="00915CAA" w:rsidRDefault="00DB46DA"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DB46DA" w:rsidRPr="00DB46DA" w:rsidRDefault="00DB46DA"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Łączność ze stacjami dokującymi przy łóżku pacjenta odbywa się poprzez sieć Ethernet lub </w:t>
            </w:r>
            <w:proofErr w:type="spellStart"/>
            <w:r w:rsidRPr="00DB46DA">
              <w:rPr>
                <w:rFonts w:ascii="Century Gothic" w:hAnsi="Century Gothic"/>
                <w:sz w:val="20"/>
                <w:szCs w:val="20"/>
                <w:highlight w:val="yellow"/>
              </w:rPr>
              <w:t>WiFi</w:t>
            </w:r>
            <w:proofErr w:type="spellEnd"/>
            <w:r w:rsidRPr="00DB46DA">
              <w:rPr>
                <w:rFonts w:ascii="Century Gothic" w:hAnsi="Century Gothic"/>
                <w:sz w:val="20"/>
                <w:szCs w:val="20"/>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DB46DA" w:rsidRPr="00DB46DA" w:rsidRDefault="00DB46DA"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jest niezależne od specyficznego PC/Serwera, systemu operacyjnego i bazy danych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Wszyscy klienci są połączeni poprzez HTTPS i przeglądarkę internetową, nie potrzeba żadnych szczególnych instalacji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DB46DA" w:rsidRPr="00915CAA" w:rsidTr="00D74B9E">
        <w:tc>
          <w:tcPr>
            <w:tcW w:w="675" w:type="dxa"/>
            <w:tcBorders>
              <w:top w:val="single" w:sz="4" w:space="0" w:color="auto"/>
              <w:left w:val="single" w:sz="4" w:space="0" w:color="auto"/>
              <w:bottom w:val="single" w:sz="4" w:space="0" w:color="auto"/>
              <w:right w:val="single" w:sz="4" w:space="0" w:color="auto"/>
            </w:tcBorders>
          </w:tcPr>
          <w:p w:rsidR="00DB46DA" w:rsidRPr="00915CAA" w:rsidRDefault="00DB46DA"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DB46DA" w:rsidRPr="00DB46DA" w:rsidRDefault="00DB46DA"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Przydział odpowiednich uprawnień dla użytkowników, dostęp zabezpieczony hasłem</w:t>
            </w:r>
          </w:p>
        </w:tc>
        <w:tc>
          <w:tcPr>
            <w:tcW w:w="1559"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DB46DA" w:rsidRPr="00DB46DA" w:rsidRDefault="00DB46DA"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obserwacji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p>
        </w:tc>
      </w:tr>
      <w:tr w:rsidR="00DB46DA" w:rsidRPr="00915CAA" w:rsidTr="00D74B9E">
        <w:tc>
          <w:tcPr>
            <w:tcW w:w="675" w:type="dxa"/>
            <w:tcBorders>
              <w:top w:val="single" w:sz="4" w:space="0" w:color="auto"/>
              <w:left w:val="single" w:sz="4" w:space="0" w:color="auto"/>
              <w:bottom w:val="single" w:sz="4" w:space="0" w:color="auto"/>
              <w:right w:val="single" w:sz="4" w:space="0" w:color="auto"/>
            </w:tcBorders>
          </w:tcPr>
          <w:p w:rsidR="00DB46DA" w:rsidRPr="00915CAA" w:rsidRDefault="00DB46DA"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DB46DA" w:rsidRPr="00DB46DA" w:rsidRDefault="00DB46DA"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Oprogramowanie do monitorowania przebiegu infuzji na poszczególnych stanowiskach z wyszczególnieniem leków, dawek, stężeń oraz danych o ilościach płynów podanych, bądź pozostałych do końca infuzji.  </w:t>
            </w:r>
          </w:p>
        </w:tc>
        <w:tc>
          <w:tcPr>
            <w:tcW w:w="1559"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DB46DA" w:rsidRPr="00DB46DA" w:rsidRDefault="00DB46DA"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DB46DA" w:rsidRPr="00DB46DA" w:rsidRDefault="00DB46DA"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 ekranie komputera system wyświetla: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Schemat rozmieszczenia łóżek zbliżony do rzeczywistego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pacjencie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DB46DA" w:rsidRDefault="00A03535"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Okno zawierające informacje o bieżących infuzjach, terminach zakończenia infuzji w poszczególnych pompach - zbliżające się alarmy wstępne (np. zbliżający się koniec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DB46DA" w:rsidRDefault="00DB46DA"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03535" w:rsidRPr="00DB46DA" w:rsidRDefault="00A03535"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DB46DA" w:rsidRDefault="00DB46DA"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Przyczyna alarmu ze wskazaniem pompy w której został wywołany (rodzaj pompy, łóżko pacjenta, sala chorych)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alarmach przerywających infuzję (np. 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lekach podawanych w pompach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bibliotek leków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Oprogramowanie do projektowania bibliotek leków, z możliwością zapisania 1200 leków oraz przypisania do 10 stężeń dla każdego leku, podziału na 30 kategorii lekowych, 16 profili pacjentów, 50 obszarów leczenia.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DC738F" w:rsidRPr="00915CAA" w:rsidTr="00D74B9E">
        <w:tc>
          <w:tcPr>
            <w:tcW w:w="675" w:type="dxa"/>
            <w:tcBorders>
              <w:top w:val="single" w:sz="4" w:space="0" w:color="auto"/>
              <w:left w:val="single" w:sz="4" w:space="0" w:color="auto"/>
              <w:bottom w:val="single" w:sz="4" w:space="0" w:color="auto"/>
              <w:right w:val="single" w:sz="4" w:space="0" w:color="auto"/>
            </w:tcBorders>
          </w:tcPr>
          <w:p w:rsidR="00DC738F" w:rsidRPr="00915CAA" w:rsidRDefault="00DC738F"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DC738F" w:rsidRPr="00DC738F" w:rsidRDefault="00DC738F"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przypisania dla każdego leku limitów miękkich i twardych</w:t>
            </w:r>
          </w:p>
        </w:tc>
        <w:tc>
          <w:tcPr>
            <w:tcW w:w="1559" w:type="dxa"/>
            <w:tcBorders>
              <w:top w:val="single" w:sz="4" w:space="0" w:color="auto"/>
              <w:left w:val="single" w:sz="4" w:space="0" w:color="auto"/>
              <w:bottom w:val="single" w:sz="4" w:space="0" w:color="auto"/>
              <w:right w:val="single" w:sz="4" w:space="0" w:color="auto"/>
            </w:tcBorders>
            <w:vAlign w:val="center"/>
          </w:tcPr>
          <w:p w:rsidR="00DC738F" w:rsidRPr="00DC738F" w:rsidRDefault="00DC738F"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DC738F" w:rsidRPr="00DC738F" w:rsidRDefault="00DC738F"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DC738F" w:rsidRPr="00DC738F" w:rsidRDefault="00DC738F" w:rsidP="00DC738F">
            <w:pPr>
              <w:snapToGrid w:val="0"/>
              <w:jc w:val="center"/>
              <w:rPr>
                <w:rFonts w:ascii="Century Gothic" w:hAnsi="Century Gothic"/>
                <w:sz w:val="20"/>
                <w:szCs w:val="20"/>
                <w:highlight w:val="yellow"/>
              </w:rPr>
            </w:pPr>
            <w:r w:rsidRPr="00DC738F">
              <w:rPr>
                <w:rFonts w:ascii="Century Gothic" w:hAnsi="Century Gothic"/>
                <w:sz w:val="20"/>
                <w:szCs w:val="20"/>
                <w:highlight w:val="yellow"/>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DC738F" w:rsidRDefault="00A03535"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konfiguracji parametrów wstępnych terapii dla każdego leku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DC738F" w:rsidRDefault="00A03535"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DC738F" w:rsidRDefault="00A03535"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DC738F" w:rsidRDefault="00A03535"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Zdalne przesyłanie bibliotek do pomp włączonych do systemu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statystyk i analiz</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do prowadzenia statystyk i analiz na różnych poziomach kompetencji personelu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dawkowaniu leków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ilości zużytych leków (na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wygenerowania dodatkowych raportów: Łączne godziny pracy urządzenia, Alarmy limitów twardych, Alarmy </w:t>
            </w:r>
            <w:proofErr w:type="spellStart"/>
            <w:r w:rsidRPr="00915CAA">
              <w:rPr>
                <w:rFonts w:ascii="Century Gothic" w:hAnsi="Century Gothic"/>
                <w:sz w:val="20"/>
                <w:szCs w:val="20"/>
              </w:rPr>
              <w:t>Dose</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Guard</w:t>
            </w:r>
            <w:proofErr w:type="spellEnd"/>
            <w:r w:rsidRPr="00915CAA">
              <w:rPr>
                <w:rFonts w:ascii="Century Gothic" w:hAnsi="Century Gothic"/>
                <w:sz w:val="20"/>
                <w:szCs w:val="20"/>
              </w:rPr>
              <w:t xml:space="preserve"> (lub odpowiednie wg nomenklatury producenta), Rozpoczęte infuzje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zapisania raportu jako plik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nadzoru urządzeń (elektroniczny paszport techniczny)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automatycznie gromadzące informacje o urządzeniach podłączonych do systemu, umożliwiające nadzór nad systemem infuzyjnym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Prezentacja w formie tabeli podłączonych urządzeń, oraz możliwość filtrowania sposobu wyświetlania (np. lokalizacja, typ urządzenia)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utraty łączności z urządzeniem system wyświetla informację o lokalizacji: ostatnio widzianej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urządzenia numeru inwentarzowego nadanego w jednostce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przypisania dla każdego urządzenia daty przeglądu technicznego, oraz późniejszego wygenerowania raportu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707DB0">
            <w:pPr>
              <w:snapToGrid w:val="0"/>
              <w:jc w:val="both"/>
              <w:rPr>
                <w:rFonts w:ascii="Century Gothic" w:hAnsi="Century Gothic"/>
                <w:sz w:val="20"/>
                <w:szCs w:val="20"/>
              </w:rPr>
            </w:pPr>
            <w:r w:rsidRPr="00915CAA">
              <w:rPr>
                <w:rFonts w:ascii="Century Gothic" w:hAnsi="Century Gothic"/>
                <w:sz w:val="20"/>
                <w:szCs w:val="20"/>
              </w:rPr>
              <w:t>Moduł pozwalający na analizę infuzji w różnych wymiarach (m.in. na lek, na pacjenta) z możliwością generowania raportów kosztowych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707DB0">
            <w:pPr>
              <w:snapToGrid w:val="0"/>
              <w:jc w:val="both"/>
              <w:rPr>
                <w:rFonts w:ascii="Century Gothic" w:hAnsi="Century Gothic"/>
                <w:sz w:val="20"/>
                <w:szCs w:val="20"/>
              </w:rPr>
            </w:pPr>
            <w:r w:rsidRPr="00915CAA">
              <w:rPr>
                <w:rFonts w:ascii="Century Gothic" w:hAnsi="Century Gothic"/>
                <w:sz w:val="20"/>
                <w:szCs w:val="20"/>
              </w:rPr>
              <w:t>Moduł pozwalający na analizę danych w różnych wymiarach z możliwością generowania raportów zmian w magazynie leków na podstawie przyjętych wprowadzonych na magazyn ilości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Raporty zdarzeń związanych z prędkością dozowania każde zdarzenie, które skutkowało anulowaniem, pominięciem lub przeprogramowaniem wlewu. Szczegółowe informacje na temat każdego zarejestrowanego zdarzenia obejmujące godzinę, lokalizację, numer identyfikacyjny pompy, użyty lek, stężenie, pierwotnie zaprogramowaną prędkość dozowania, napotkany limit, pominięcie, ilość o jaką przekroczono limit, i dawkę końcową.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03535" w:rsidRPr="00915CAA" w:rsidRDefault="00A03535" w:rsidP="0009159C">
            <w:pPr>
              <w:snapToGrid w:val="0"/>
              <w:jc w:val="both"/>
              <w:rPr>
                <w:rFonts w:ascii="Century Gothic" w:hAnsi="Century Gothic"/>
                <w:sz w:val="20"/>
                <w:szCs w:val="20"/>
              </w:rPr>
            </w:pPr>
            <w:r w:rsidRPr="00915CAA">
              <w:rPr>
                <w:rFonts w:ascii="Century Gothic" w:hAnsi="Century Gothic"/>
                <w:sz w:val="20"/>
                <w:szCs w:val="20"/>
              </w:rPr>
              <w:t xml:space="preserve">System powiązania pacjenta z podawanym lekiem, partią działający w oparciu o indywidualne opaski oraz </w:t>
            </w:r>
            <w:proofErr w:type="spellStart"/>
            <w:r w:rsidRPr="00915CAA">
              <w:rPr>
                <w:rFonts w:ascii="Century Gothic" w:hAnsi="Century Gothic"/>
                <w:sz w:val="20"/>
                <w:szCs w:val="20"/>
              </w:rPr>
              <w:t>barcode</w:t>
            </w:r>
            <w:proofErr w:type="spellEnd"/>
            <w:r w:rsidRPr="00915CAA">
              <w:rPr>
                <w:rFonts w:ascii="Century Gothic" w:hAnsi="Century Gothic"/>
                <w:sz w:val="20"/>
                <w:szCs w:val="20"/>
              </w:rPr>
              <w:t xml:space="preserve"> (podając lek korelujemy go z kodem pacjenta)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96CA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rsidTr="00844787">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color w:val="000000"/>
                <w:sz w:val="20"/>
                <w:szCs w:val="20"/>
              </w:rPr>
              <w:t>tester do pomp  – 1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D74B9E" w:rsidRDefault="00A03535" w:rsidP="00D74B9E">
            <w:pPr>
              <w:snapToGrid w:val="0"/>
              <w:rPr>
                <w:rFonts w:ascii="Century Gothic" w:hAnsi="Century Gothic"/>
                <w:color w:val="000000"/>
                <w:sz w:val="20"/>
                <w:szCs w:val="20"/>
              </w:rPr>
            </w:pPr>
            <w:r w:rsidRPr="00D74B9E">
              <w:rPr>
                <w:rFonts w:ascii="Century Gothic" w:hAnsi="Century Gothic"/>
                <w:sz w:val="20"/>
                <w:szCs w:val="20"/>
              </w:rPr>
              <w:t>Pomiary co najmniej: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pomiar przepływu i ciśnienia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okluzja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bolus</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wykresy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kompatybilny ze wszystkimi rodzajami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niezależna praca wszystkich kanałów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 xml:space="preserve">zdalna kontrola z poziomu oprogramowania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Generowanie raportów do wydruku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Oferowany tester posiada 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Urządzenie przystosowane do wykonywania kompletu testów wymaganych do pełnego przeglądu pompy infuzyjnej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Uniwersalny tester do pomp wszystkich typów i producentów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Tester 4 kanałowy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Złącze USB i Bluetooth do komunikacji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Oryginalna torba do przechowywania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Dodatkowy tester do pomp, stacji dedykowany do zaoferowanych POMP (1 </w:t>
            </w:r>
            <w:proofErr w:type="spellStart"/>
            <w:r w:rsidRPr="00915CAA">
              <w:rPr>
                <w:rFonts w:ascii="Century Gothic" w:hAnsi="Century Gothic"/>
                <w:sz w:val="20"/>
                <w:szCs w:val="20"/>
              </w:rPr>
              <w:t>szt</w:t>
            </w:r>
            <w:proofErr w:type="spellEnd"/>
            <w:r w:rsidRPr="00915CAA">
              <w:rPr>
                <w:rFonts w:ascii="Century Gothic" w:hAnsi="Century Gothic"/>
                <w:sz w:val="20"/>
                <w:szCs w:val="20"/>
              </w:rPr>
              <w:t xml:space="preserve">) pozwalający na wykonywanie pełnych przeglądów producenckich pomp wraz z możliwością odnotowywania przeglądu autoryzowanego (kasowanie alarmu przeglądu po jego wykonaniu) w sprzęcie oraz drukowanie </w:t>
            </w:r>
            <w:r w:rsidRPr="00915CAA">
              <w:rPr>
                <w:rFonts w:ascii="Century Gothic" w:hAnsi="Century Gothic"/>
                <w:sz w:val="20"/>
                <w:szCs w:val="20"/>
              </w:rPr>
              <w:lastRenderedPageBreak/>
              <w:t>raportów pełnego przeglądu zgodnie z wymogami producenta.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D74B9E" w:rsidRDefault="00A03535" w:rsidP="00D74B9E">
            <w:pPr>
              <w:snapToGrid w:val="0"/>
              <w:jc w:val="center"/>
              <w:rPr>
                <w:rFonts w:ascii="Century Gothic" w:hAnsi="Century Gothic"/>
                <w:sz w:val="20"/>
                <w:szCs w:val="20"/>
              </w:rPr>
            </w:pPr>
            <w:r w:rsidRPr="00D74B9E">
              <w:rPr>
                <w:rFonts w:ascii="Century Gothic" w:hAnsi="Century Gothic"/>
                <w:color w:val="000000"/>
                <w:sz w:val="20"/>
                <w:szCs w:val="20"/>
              </w:rPr>
              <w:t>Zasilacz UPS  – 10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Zewnętrzny zasilacz UPS podtrzymujący prace pompy przez min. 8 godzin</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Rozmiary (</w:t>
            </w:r>
            <w:proofErr w:type="spellStart"/>
            <w:r w:rsidRPr="00915CAA">
              <w:rPr>
                <w:rFonts w:ascii="Century Gothic" w:hAnsi="Century Gothic"/>
                <w:sz w:val="20"/>
                <w:szCs w:val="20"/>
              </w:rPr>
              <w:t>szer</w:t>
            </w:r>
            <w:proofErr w:type="spellEnd"/>
            <w:r w:rsidRPr="00915CAA">
              <w:rPr>
                <w:rFonts w:ascii="Century Gothic" w:hAnsi="Century Gothic"/>
                <w:sz w:val="20"/>
                <w:szCs w:val="20"/>
              </w:rPr>
              <w:t>/</w:t>
            </w:r>
            <w:proofErr w:type="spellStart"/>
            <w:r w:rsidRPr="00915CAA">
              <w:rPr>
                <w:rFonts w:ascii="Century Gothic" w:hAnsi="Century Gothic"/>
                <w:sz w:val="20"/>
                <w:szCs w:val="20"/>
              </w:rPr>
              <w:t>wys</w:t>
            </w:r>
            <w:proofErr w:type="spellEnd"/>
            <w:r w:rsidRPr="00915CAA">
              <w:rPr>
                <w:rFonts w:ascii="Century Gothic" w:hAnsi="Century Gothic"/>
                <w:sz w:val="20"/>
                <w:szCs w:val="20"/>
              </w:rPr>
              <w:t>/długość)</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96CA6">
            <w:pPr>
              <w:snapToGrid w:val="0"/>
              <w:jc w:val="center"/>
              <w:rPr>
                <w:rFonts w:ascii="Century Gothic" w:hAnsi="Century Gothic"/>
                <w:sz w:val="20"/>
                <w:szCs w:val="20"/>
              </w:rPr>
            </w:pPr>
            <w:r w:rsidRPr="00915CAA">
              <w:rPr>
                <w:rFonts w:ascii="Century Gothic" w:hAnsi="Century Gothic"/>
                <w:sz w:val="20"/>
                <w:szCs w:val="20"/>
              </w:rPr>
              <w:t>Najmniejsze – 0,5 pkt. Pozostałe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D74B9E" w:rsidRDefault="00A03535" w:rsidP="00D74B9E">
            <w:pPr>
              <w:jc w:val="center"/>
              <w:rPr>
                <w:rFonts w:ascii="Century Gothic" w:hAnsi="Century Gothic"/>
                <w:sz w:val="20"/>
                <w:szCs w:val="20"/>
              </w:rPr>
            </w:pPr>
            <w:r w:rsidRPr="00D74B9E">
              <w:rPr>
                <w:rFonts w:ascii="Century Gothic" w:hAnsi="Century Gothic"/>
                <w:color w:val="000000"/>
                <w:sz w:val="20"/>
                <w:szCs w:val="20"/>
              </w:rPr>
              <w:t>Tester bezpieczeństwa elektrycznego – 1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Wykonywane testy: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Ciągłość uziemienia DC</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Rezystancja Izolacji 50V, 100V, 250V, 500V</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Bezpośredni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Różnicowy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Alternatywny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obciążenia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napięcia zasilania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Przewodów IEC</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Cechy: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Polskie menu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Pełna zgodność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Test do 2 </w:t>
            </w:r>
            <w:proofErr w:type="spellStart"/>
            <w:r w:rsidRPr="00915CAA">
              <w:rPr>
                <w:rFonts w:ascii="Century Gothic" w:hAnsi="Century Gothic"/>
                <w:sz w:val="20"/>
                <w:szCs w:val="20"/>
              </w:rPr>
              <w:t>odprowadzeń</w:t>
            </w:r>
            <w:proofErr w:type="spellEnd"/>
            <w:r w:rsidRPr="00915CAA">
              <w:rPr>
                <w:rFonts w:ascii="Century Gothic" w:hAnsi="Century Gothic"/>
                <w:sz w:val="20"/>
                <w:szCs w:val="20"/>
              </w:rPr>
              <w:t xml:space="preserve"> przyłączy pacjenta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Konfigurowalne sekwencje testów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Duży, czytelny wyświetlacz i wbudowana klawiatura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Możliwość przesyłania wyników poprzez RS232 wraz z kablem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Pamięć wyników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Przenośny, zasilany bateryjnie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Tryb manualny, automatyczny i półautomatyczny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Skład kompletu: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Tester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Proste oprogramowanie do przesyłania wyników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Sonda z klipsem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Sonda ostrzowa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Torba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2 odprowadzeniowy kabel części aplikacyjnych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Przewód zasilający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D74B9E" w:rsidRDefault="00A03535" w:rsidP="00D74B9E">
            <w:pPr>
              <w:jc w:val="center"/>
              <w:rPr>
                <w:rFonts w:ascii="Century Gothic" w:hAnsi="Century Gothic"/>
                <w:sz w:val="20"/>
                <w:szCs w:val="20"/>
              </w:rPr>
            </w:pPr>
            <w:r w:rsidRPr="00D74B9E">
              <w:rPr>
                <w:rFonts w:ascii="Century Gothic" w:hAnsi="Century Gothic"/>
                <w:color w:val="000000"/>
                <w:sz w:val="20"/>
                <w:szCs w:val="20"/>
              </w:rPr>
              <w:t>Stacja do pracy pomp w środowisku MRI – 1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pozwalające na jednoczasowe dokowanie do min. 4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D4C77">
            <w:pPr>
              <w:snapToGrid w:val="0"/>
              <w:jc w:val="both"/>
              <w:rPr>
                <w:rFonts w:ascii="Century Gothic" w:hAnsi="Century Gothic"/>
                <w:sz w:val="20"/>
                <w:szCs w:val="20"/>
              </w:rPr>
            </w:pPr>
            <w:r w:rsidRPr="00915CAA">
              <w:rPr>
                <w:rFonts w:ascii="Century Gothic" w:hAnsi="Century Gothic"/>
                <w:sz w:val="20"/>
                <w:szCs w:val="20"/>
              </w:rPr>
              <w:t xml:space="preserve">Urządzenie kompatybilne z pompami </w:t>
            </w:r>
            <w:proofErr w:type="spellStart"/>
            <w:r w:rsidRPr="00915CAA">
              <w:rPr>
                <w:rFonts w:ascii="Century Gothic" w:hAnsi="Century Gothic"/>
                <w:sz w:val="20"/>
                <w:szCs w:val="20"/>
              </w:rPr>
              <w:t>strzykawkowymi</w:t>
            </w:r>
            <w:proofErr w:type="spellEnd"/>
            <w:r w:rsidRPr="00915CAA">
              <w:rPr>
                <w:rFonts w:ascii="Century Gothic" w:hAnsi="Century Gothic"/>
                <w:sz w:val="20"/>
                <w:szCs w:val="20"/>
              </w:rPr>
              <w:t xml:space="preserve"> i objętościowymi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posiadać, zintegrowany system ciągłego pomiaru siły pola magnetycznego, pozwalający na bezpieczne umieszczenie go w stosunku do skanera MRI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pomiaru siły pola magnetycznego powinien być wyposażony w wizualny i dźwiękowy alarm. Umieszczenie mobilnej obudowy pomp zbyt blisko rdzenia pola magnetycznego powinno wywoływać alarm wraz z automatycznym logowaniem zdarzenia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powinno pozwalać na pracę w skanerze 1,5 T i 3,0 T</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D4C77">
            <w:pPr>
              <w:snapToGrid w:val="0"/>
              <w:jc w:val="both"/>
              <w:rPr>
                <w:rFonts w:ascii="Century Gothic" w:hAnsi="Century Gothic"/>
                <w:sz w:val="20"/>
                <w:szCs w:val="20"/>
              </w:rPr>
            </w:pPr>
            <w:r w:rsidRPr="00915CAA">
              <w:rPr>
                <w:rFonts w:ascii="Century Gothic" w:hAnsi="Century Gothic"/>
                <w:sz w:val="20"/>
                <w:szCs w:val="20"/>
              </w:rPr>
              <w:t>Urządzenie mobilne o łatwym manewrowaniu, z możliwością włączania hamulców na min. 2 kołach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1A0944">
            <w:pPr>
              <w:jc w:val="center"/>
              <w:rPr>
                <w:rFonts w:ascii="Century Gothic" w:hAnsi="Century Gothic"/>
                <w:sz w:val="20"/>
                <w:szCs w:val="20"/>
              </w:rPr>
            </w:pPr>
            <w:r w:rsidRPr="00915CAA">
              <w:rPr>
                <w:rFonts w:ascii="Century Gothic" w:hAnsi="Century Gothic"/>
                <w:sz w:val="20"/>
                <w:szCs w:val="20"/>
              </w:rPr>
              <w:t>Bezpieczny uchwyt do manewrowania 0,5 pkt, pozostałe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Zasilanie sieciowe 115-230 V, 50-60Hz oraz zasilanie bateryjne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Gwarantowany czas pracy po pełnym naładowaniu baterii przy podłączeniu wszystkich pomp infuzyjnych powinien wynosić nie mniej niż 60 minut ciągłej pracy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Stopień uszczelnienia obudowy min. IPX2</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Wieszak na worki z płynami infuzyjnymi o regulowanej wysokości z możliwością jego demontażu, każdy pozwalający na umieszczenie ciężaru minimum 2 kg</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 łączną wartość obciążenia wieszaków</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83F2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posiadać dwustopniowy dźwiękowy i wizualny system powiadamiania o sytuacjach alarmowych, zróżnicowany w zależności od statusu alarmu bądź informacji o pracy systemu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wskazywać co najmniej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wyłączenie zasilania sieciowego</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alarm pompy</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praca na zasilaniu sieciowym</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praca na zasilaniu bateryjnym</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bliski status rozładowania baterii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dla zakresu bezpiecznej pracy w środowisku </w:t>
            </w:r>
            <w:r w:rsidRPr="00915CAA">
              <w:rPr>
                <w:rFonts w:ascii="Century Gothic" w:hAnsi="Century Gothic"/>
                <w:sz w:val="20"/>
                <w:szCs w:val="20"/>
              </w:rPr>
              <w:lastRenderedPageBreak/>
              <w:t>MRI                ( odległość pracy od otworu tunelu magnesu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uszkodzenia systemu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system montowania pomp w urządzeniu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Oferowane urządzenia muszą spełniać normę IEC/EN60601-1, IEC/EN60601-1-2; ETSI EN 301489-17 oraz </w:t>
            </w:r>
            <w:proofErr w:type="spellStart"/>
            <w:r w:rsidRPr="00915CAA">
              <w:rPr>
                <w:rFonts w:ascii="Century Gothic" w:hAnsi="Century Gothic"/>
                <w:sz w:val="20"/>
                <w:szCs w:val="20"/>
              </w:rPr>
              <w:t>Dyrektywe</w:t>
            </w:r>
            <w:proofErr w:type="spellEnd"/>
            <w:r w:rsidRPr="00915CAA">
              <w:rPr>
                <w:rFonts w:ascii="Century Gothic" w:hAnsi="Century Gothic"/>
                <w:sz w:val="20"/>
                <w:szCs w:val="20"/>
              </w:rPr>
              <w:t xml:space="preserve"> Emisji Radiowej 2014/53/EU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1. </w:t>
            </w:r>
            <w:r w:rsidR="00A03535" w:rsidRPr="00915CAA">
              <w:rPr>
                <w:rFonts w:ascii="Century Gothic" w:hAnsi="Century Gothic"/>
                <w:sz w:val="20"/>
                <w:szCs w:val="20"/>
              </w:rPr>
              <w:t>Stacja z możliwością instalacji 4 pomp strzykawkach lub objętościowych</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2. </w:t>
            </w:r>
            <w:r w:rsidR="00A03535" w:rsidRPr="00915CAA">
              <w:rPr>
                <w:rFonts w:ascii="Century Gothic" w:hAnsi="Century Gothic"/>
                <w:sz w:val="20"/>
                <w:szCs w:val="20"/>
              </w:rPr>
              <w:t>Przewidywane umiejscowienie, to możliwie jak najbliżej pacjenta znajdującego się w aparacie MRI, z zastrzeżeniem jednak, że maksymalna gęstość pola ma</w:t>
            </w:r>
            <w:r>
              <w:rPr>
                <w:rFonts w:ascii="Century Gothic" w:hAnsi="Century Gothic"/>
                <w:sz w:val="20"/>
                <w:szCs w:val="20"/>
              </w:rPr>
              <w:t xml:space="preserve">gnetycznego może wynosić 20 </w:t>
            </w:r>
            <w:proofErr w:type="spellStart"/>
            <w:r>
              <w:rPr>
                <w:rFonts w:ascii="Century Gothic" w:hAnsi="Century Gothic"/>
                <w:sz w:val="20"/>
                <w:szCs w:val="20"/>
              </w:rPr>
              <w:t>mT</w:t>
            </w:r>
            <w:proofErr w:type="spellEnd"/>
            <w:r>
              <w:rPr>
                <w:rFonts w:ascii="Century Gothic" w:hAnsi="Century Gothic"/>
                <w:sz w:val="20"/>
                <w:szCs w:val="20"/>
              </w:rPr>
              <w:t>/</w:t>
            </w:r>
            <w:r w:rsidR="00A03535" w:rsidRPr="00915CAA">
              <w:rPr>
                <w:rFonts w:ascii="Century Gothic" w:hAnsi="Century Gothic"/>
                <w:sz w:val="20"/>
                <w:szCs w:val="20"/>
              </w:rPr>
              <w:t xml:space="preserve">200 </w:t>
            </w:r>
            <w:proofErr w:type="spellStart"/>
            <w:r w:rsidR="00A03535" w:rsidRPr="00915CAA">
              <w:rPr>
                <w:rFonts w:ascii="Century Gothic" w:hAnsi="Century Gothic"/>
                <w:sz w:val="20"/>
                <w:szCs w:val="20"/>
              </w:rPr>
              <w:t>Gs</w:t>
            </w:r>
            <w:proofErr w:type="spellEnd"/>
            <w:r w:rsidR="00A03535" w:rsidRPr="00915CAA">
              <w:rPr>
                <w:rFonts w:ascii="Century Gothic" w:hAnsi="Century Gothic"/>
                <w:sz w:val="20"/>
                <w:szCs w:val="20"/>
              </w:rPr>
              <w:t>, co odpowiada odległości ok. 1.5 m od aktywnego, ekranowanego skanera MRI 3 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3.Stacja wyposażona w podstawę jezdną  4 kółka, minimum dwa kółka wyposażone w hamulec nożny.</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4. </w:t>
            </w:r>
            <w:r w:rsidR="00A03535" w:rsidRPr="00915CAA">
              <w:rPr>
                <w:rFonts w:ascii="Century Gothic" w:hAnsi="Century Gothic"/>
                <w:sz w:val="20"/>
                <w:szCs w:val="20"/>
              </w:rPr>
              <w:t>Stacja wyposażona w automatyczny hamulec</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5. </w:t>
            </w:r>
            <w:r w:rsidR="00A03535" w:rsidRPr="00915CAA">
              <w:rPr>
                <w:rFonts w:ascii="Century Gothic" w:hAnsi="Century Gothic"/>
                <w:sz w:val="20"/>
                <w:szCs w:val="20"/>
              </w:rPr>
              <w:t>Stacja wyposażona w wieszak na kroplówki</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6. </w:t>
            </w:r>
            <w:r w:rsidR="00A03535" w:rsidRPr="00915CAA">
              <w:rPr>
                <w:rFonts w:ascii="Century Gothic" w:hAnsi="Century Gothic"/>
                <w:sz w:val="20"/>
                <w:szCs w:val="20"/>
              </w:rPr>
              <w:t>Min. dwa bezpieczniki, 2 A o dużej zdolności wyłączania</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7. </w:t>
            </w:r>
            <w:r w:rsidR="00A03535" w:rsidRPr="00915CAA">
              <w:rPr>
                <w:rFonts w:ascii="Century Gothic" w:hAnsi="Century Gothic"/>
                <w:sz w:val="20"/>
                <w:szCs w:val="20"/>
              </w:rPr>
              <w:t>Ochrona elektryczna Klasa I z uziemieniem ochronnych, trójżyłowy przewód zasilający</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8. </w:t>
            </w:r>
            <w:r w:rsidR="00A03535" w:rsidRPr="00915CAA">
              <w:rPr>
                <w:rFonts w:ascii="Century Gothic" w:hAnsi="Century Gothic"/>
                <w:sz w:val="20"/>
                <w:szCs w:val="20"/>
              </w:rPr>
              <w:t xml:space="preserve">Wskaźnik obecności pola magnetycznego </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9. </w:t>
            </w:r>
            <w:r w:rsidR="00A03535" w:rsidRPr="00915CAA">
              <w:rPr>
                <w:rFonts w:ascii="Century Gothic" w:hAnsi="Century Gothic"/>
                <w:sz w:val="20"/>
                <w:szCs w:val="20"/>
              </w:rPr>
              <w:t>Interfejs użytkownika w skład którego wchodzą wskaźniki świetlne: stanu systemu, stanu baterii interfejsu, stanu zasilania sieciowego, stanu alarmów pomp zainstalowanych w stacji.</w:t>
            </w:r>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10. </w:t>
            </w:r>
            <w:r w:rsidR="00A03535" w:rsidRPr="00915CAA">
              <w:rPr>
                <w:rFonts w:ascii="Century Gothic" w:hAnsi="Century Gothic"/>
                <w:sz w:val="20"/>
                <w:szCs w:val="20"/>
              </w:rPr>
              <w:t xml:space="preserve">Użytkowanie w środowisku rezonansu magnetycznego, pole magnetyczne maksimum      20 </w:t>
            </w:r>
            <w:proofErr w:type="spellStart"/>
            <w:r w:rsidR="00A03535" w:rsidRPr="00915CAA">
              <w:rPr>
                <w:rFonts w:ascii="Century Gothic" w:hAnsi="Century Gothic"/>
                <w:sz w:val="20"/>
                <w:szCs w:val="20"/>
              </w:rPr>
              <w:t>mT</w:t>
            </w:r>
            <w:proofErr w:type="spellEnd"/>
          </w:p>
          <w:p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lastRenderedPageBreak/>
              <w:t xml:space="preserve">11. </w:t>
            </w:r>
            <w:r w:rsidR="00A03535" w:rsidRPr="00915CAA">
              <w:rPr>
                <w:rFonts w:ascii="Century Gothic" w:hAnsi="Century Gothic"/>
                <w:sz w:val="20"/>
                <w:szCs w:val="20"/>
              </w:rPr>
              <w:t>Bezpieczeństwo sprzętu elektromedycznego Zgodność z normą EN/IEC 60601-1</w:t>
            </w:r>
          </w:p>
          <w:p w:rsidR="00A03535" w:rsidRPr="00915CAA" w:rsidRDefault="00D74B9E" w:rsidP="00D84591">
            <w:pPr>
              <w:snapToGrid w:val="0"/>
              <w:jc w:val="both"/>
              <w:rPr>
                <w:rFonts w:ascii="Century Gothic" w:hAnsi="Century Gothic"/>
                <w:sz w:val="20"/>
                <w:szCs w:val="20"/>
              </w:rPr>
            </w:pPr>
            <w:r>
              <w:rPr>
                <w:rFonts w:ascii="Century Gothic" w:hAnsi="Century Gothic"/>
                <w:sz w:val="20"/>
                <w:szCs w:val="20"/>
              </w:rPr>
              <w:t xml:space="preserve">12. </w:t>
            </w:r>
            <w:r w:rsidR="00A03535" w:rsidRPr="00915CAA">
              <w:rPr>
                <w:rFonts w:ascii="Century Gothic" w:hAnsi="Century Gothic"/>
                <w:sz w:val="20"/>
                <w:szCs w:val="20"/>
              </w:rPr>
              <w:t>Kompatybilność elektromagnetyczna zgodność z normą EN/IEC 60601-1-2</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Stacja wyposażona w szufladę na podręczne akcesoria, instrukcję obsługi itp.</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p>
        </w:tc>
      </w:tr>
      <w:tr w:rsidR="00A03535" w:rsidRPr="00915CAA" w:rsidTr="00A6056C">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Pompy TCI-TIVA</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Urządzenia fabrycznie nowe, </w:t>
            </w:r>
            <w:proofErr w:type="spellStart"/>
            <w:r w:rsidRPr="00915CAA">
              <w:rPr>
                <w:rFonts w:ascii="Century Gothic" w:hAnsi="Century Gothic"/>
                <w:sz w:val="20"/>
                <w:szCs w:val="20"/>
              </w:rPr>
              <w:t>niepowystawowe</w:t>
            </w:r>
            <w:proofErr w:type="spellEnd"/>
            <w:r w:rsidRPr="00915CAA">
              <w:rPr>
                <w:rFonts w:ascii="Century Gothic" w:hAnsi="Century Gothic"/>
                <w:sz w:val="20"/>
                <w:szCs w:val="20"/>
              </w:rPr>
              <w:t xml:space="preserve"> w najnowszej wersji sprzętowej na dzień składania oferty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IP22</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Pompa </w:t>
            </w:r>
            <w:proofErr w:type="spellStart"/>
            <w:r w:rsidRPr="00915CAA">
              <w:rPr>
                <w:rFonts w:ascii="Century Gothic" w:hAnsi="Century Gothic"/>
                <w:sz w:val="20"/>
                <w:szCs w:val="20"/>
              </w:rPr>
              <w:t>strzykawkowa</w:t>
            </w:r>
            <w:proofErr w:type="spellEnd"/>
            <w:r w:rsidRPr="00915CAA">
              <w:rPr>
                <w:rFonts w:ascii="Century Gothic" w:hAnsi="Century Gothic"/>
                <w:sz w:val="20"/>
                <w:szCs w:val="20"/>
              </w:rPr>
              <w:t xml:space="preserve"> sterowana elektronicznie umożliwiająca współpracę z systemem centralnego zasilania i zarządzania danymi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Strzykawka mocowana od przodu automatycznie (wersja 1)</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lub</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Strzykawka mocowana od przodu manualnie, tj. możliwość zamocowania strzykawki zarówno przy włączonej jak i wyłączonej pompie (wersja 2)</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Wersja 1 – 2 pkt.</w:t>
            </w:r>
          </w:p>
          <w:p w:rsidR="00A03535" w:rsidRPr="00915CAA" w:rsidRDefault="00A03535" w:rsidP="00855868">
            <w:pPr>
              <w:snapToGrid w:val="0"/>
              <w:jc w:val="center"/>
              <w:rPr>
                <w:rFonts w:ascii="Century Gothic" w:hAnsi="Century Gothic"/>
                <w:sz w:val="20"/>
                <w:szCs w:val="20"/>
              </w:rPr>
            </w:pPr>
            <w:r w:rsidRPr="00915CAA">
              <w:rPr>
                <w:rFonts w:ascii="Century Gothic" w:hAnsi="Century Gothic"/>
                <w:sz w:val="20"/>
                <w:szCs w:val="20"/>
              </w:rPr>
              <w:t>Wersja 2 – 1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zatrzaskowego mocowania i współpracy ze stacją dokującą (pompa umieszczona w stacji dokującej jest z niej bezpośrednio zasilana)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Zasilanie przy użyciu zasilacza zewnętrznego lub bezpośrednio z sieci za pomocą kabla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z akumulatora min. 6 godzi przy infuzji 5ml/godz.</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 10 godzin – 1 pkt.</w:t>
            </w:r>
          </w:p>
          <w:p w:rsidR="00A03535" w:rsidRPr="00915CAA" w:rsidRDefault="00A03535" w:rsidP="00F83F28">
            <w:pPr>
              <w:jc w:val="center"/>
              <w:rPr>
                <w:rFonts w:ascii="Century Gothic" w:hAnsi="Century Gothic"/>
                <w:sz w:val="20"/>
                <w:szCs w:val="20"/>
              </w:rPr>
            </w:pPr>
            <w:r w:rsidRPr="00915CAA">
              <w:rPr>
                <w:rFonts w:ascii="Century Gothic" w:hAnsi="Century Gothic"/>
                <w:sz w:val="20"/>
                <w:szCs w:val="20"/>
              </w:rPr>
              <w:t>≥ 25 godzin – 2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Masa pompy max. 2,4 kg</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mocowania pompy do rury pionowej, kolumny lub poziomej szyny przy pomocy odłączalnego uchwytu lub uchwytu na stałe wbudowanego w pompę.</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Cała strzykawka stale widoczna podczas pracy pompy – możliwość odczytania objętości ze skali oraz wizualnej kontroli procesu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Podświetlany ekran i przyciski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wyświetlenia minimum następujących informacji:</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nazwa leku,</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koncentracja leku,</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prędkość infuzji,</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podana dawka,</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stan naładowania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Przekątna ekranu w calach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mechaniczna ≤±2%</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Default="00A03535" w:rsidP="00855868">
            <w:pPr>
              <w:jc w:val="center"/>
              <w:rPr>
                <w:rFonts w:ascii="Century Gothic" w:hAnsi="Century Gothic"/>
                <w:sz w:val="20"/>
                <w:szCs w:val="20"/>
              </w:rPr>
            </w:pPr>
            <w:r w:rsidRPr="00915CAA">
              <w:rPr>
                <w:rFonts w:ascii="Century Gothic" w:hAnsi="Century Gothic"/>
                <w:sz w:val="20"/>
                <w:szCs w:val="20"/>
              </w:rPr>
              <w:t>≤</w:t>
            </w:r>
            <w:r w:rsidR="009B0AF9" w:rsidRPr="009B0AF9">
              <w:rPr>
                <w:rFonts w:ascii="Century Gothic" w:hAnsi="Century Gothic"/>
                <w:sz w:val="20"/>
                <w:szCs w:val="20"/>
              </w:rPr>
              <w:t>±</w:t>
            </w:r>
            <w:r w:rsidRPr="00915CAA">
              <w:rPr>
                <w:rFonts w:ascii="Century Gothic" w:hAnsi="Century Gothic"/>
                <w:sz w:val="20"/>
                <w:szCs w:val="20"/>
              </w:rPr>
              <w:t xml:space="preserve"> 0,5% - 2 pkt.</w:t>
            </w:r>
          </w:p>
          <w:p w:rsidR="009B0AF9" w:rsidRPr="00915CAA" w:rsidRDefault="009B0AF9" w:rsidP="00855868">
            <w:pPr>
              <w:jc w:val="center"/>
              <w:rPr>
                <w:rFonts w:ascii="Century Gothic" w:hAnsi="Century Gothic"/>
                <w:sz w:val="20"/>
                <w:szCs w:val="20"/>
              </w:rPr>
            </w:pPr>
            <w:r>
              <w:rPr>
                <w:rFonts w:ascii="Century Gothic" w:hAnsi="Century Gothic"/>
                <w:sz w:val="20"/>
                <w:szCs w:val="20"/>
              </w:rPr>
              <w:t>Pozostałe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55868">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 zabezpieczenie przed podaniem niekontrolowanego bolusa po alarmie okluzji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współpracy pomp z system do kontrolowanej podaży insuliny.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parametrów infuzji w jednostkach minimum: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µg, mg, IU, </w:t>
            </w:r>
            <w:proofErr w:type="spellStart"/>
            <w:r w:rsidRPr="00915CAA">
              <w:rPr>
                <w:rFonts w:ascii="Century Gothic" w:hAnsi="Century Gothic"/>
                <w:sz w:val="20"/>
                <w:szCs w:val="20"/>
              </w:rPr>
              <w:t>kIU</w:t>
            </w:r>
            <w:proofErr w:type="spellEnd"/>
            <w:r w:rsidRPr="00915CAA">
              <w:rPr>
                <w:rFonts w:ascii="Century Gothic" w:hAnsi="Century Gothic"/>
                <w:sz w:val="20"/>
                <w:szCs w:val="20"/>
              </w:rPr>
              <w:t xml:space="preserve">, kcal lub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z uwzględnieniem lub nie masy ciała w </w:t>
            </w:r>
            <w:r w:rsidRPr="00915CAA">
              <w:rPr>
                <w:rFonts w:ascii="Century Gothic" w:hAnsi="Century Gothic"/>
                <w:sz w:val="20"/>
                <w:szCs w:val="20"/>
              </w:rPr>
              <w:lastRenderedPageBreak/>
              <w:t xml:space="preserve">odniesieniu do czasu (np. mg/kg/min; mg/kg/h; mg/kg/24h)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Pompa skalibrowana do pracy ze strzykawkami o objętości min. 5, 10, 20 i 50/60 ml różnych typów oraz różnych producentów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55868">
            <w:pPr>
              <w:snapToGrid w:val="0"/>
              <w:jc w:val="both"/>
              <w:rPr>
                <w:rFonts w:ascii="Century Gothic" w:hAnsi="Century Gothic"/>
                <w:sz w:val="20"/>
                <w:szCs w:val="20"/>
              </w:rPr>
            </w:pPr>
            <w:r w:rsidRPr="00915CAA">
              <w:rPr>
                <w:rFonts w:ascii="Century Gothic" w:hAnsi="Century Gothic"/>
                <w:sz w:val="20"/>
                <w:szCs w:val="20"/>
              </w:rPr>
              <w:t>Obsługa strzykawek 2,3 ml – 1 pkt, wymagane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Zakres prędkości infuzji min. 0,1 do 999,9 ml/h.</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Prędkość infuzji w zakresie min. 0,1 - 9,99ml/h programowana co min. 0,01ml/godz.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Zmiana szybkości infuzji bez konieczności przerywania wlewu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utworzenia biblioteki leków używanych w </w:t>
            </w:r>
            <w:proofErr w:type="spellStart"/>
            <w:r w:rsidRPr="00915CAA">
              <w:rPr>
                <w:rFonts w:ascii="Century Gothic" w:hAnsi="Century Gothic"/>
                <w:sz w:val="20"/>
                <w:szCs w:val="20"/>
              </w:rPr>
              <w:t>infuzjoterapii</w:t>
            </w:r>
            <w:proofErr w:type="spellEnd"/>
            <w:r w:rsidRPr="00915CAA">
              <w:rPr>
                <w:rFonts w:ascii="Century Gothic" w:hAnsi="Century Gothic"/>
                <w:sz w:val="20"/>
                <w:szCs w:val="20"/>
              </w:rPr>
              <w:t xml:space="preserve"> na min. 100 leków wraz z protokołami infuzji (domyślne przepływy, dawki, prędkości bolusa, stężenia itp.), możliwość wyświetlania nazwy leku i/lub wybranych parametrów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 500 leków – 0,5 pkt.</w:t>
            </w:r>
          </w:p>
          <w:p w:rsidR="00A03535" w:rsidRPr="00915CAA" w:rsidRDefault="00A03535" w:rsidP="00F83F28">
            <w:pPr>
              <w:jc w:val="center"/>
              <w:rPr>
                <w:rFonts w:ascii="Century Gothic" w:hAnsi="Century Gothic"/>
                <w:sz w:val="20"/>
                <w:szCs w:val="20"/>
              </w:rPr>
            </w:pPr>
            <w:r w:rsidRPr="00915CAA">
              <w:rPr>
                <w:rFonts w:ascii="Century Gothic" w:hAnsi="Century Gothic"/>
                <w:sz w:val="20"/>
                <w:szCs w:val="20"/>
              </w:rPr>
              <w:t>≥ 2000 leków – 1,5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Podział biblioteki na osobne grupy dedykowane poszczególnym oddziałom szpitalnym, do min. 20 oddziałów. Wybór oddziału dostępny w pompie.</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biblioteki dedykowanej oddziałom na min. 13 kategorii lekowych.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F83F28">
            <w:pPr>
              <w:snapToGrid w:val="0"/>
              <w:jc w:val="both"/>
              <w:rPr>
                <w:rFonts w:ascii="Century Gothic" w:hAnsi="Century Gothic"/>
                <w:sz w:val="20"/>
                <w:szCs w:val="20"/>
              </w:rPr>
            </w:pPr>
            <w:r w:rsidRPr="00915CAA">
              <w:rPr>
                <w:rFonts w:ascii="Century Gothic" w:hAnsi="Century Gothic"/>
                <w:sz w:val="20"/>
                <w:szCs w:val="20"/>
              </w:rPr>
              <w:t>Możliwość zasilania minimum 2 pomp wspólnym przewodem (bez stosowania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Ciągły pomiar ciśnienia w linii - okluzji i rozłączenia linii bez konieczności stosowania specjalnych drenów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Prezentacja ciągłego pomiaru ciśnienia w linii w formie graficznej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poziomu ciśnienia okluzji – min. 8 poziomów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(VTBD) w zakresie min. 0,1- 999 ml</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programowania czasu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Bolus podawany na żądanie bez konieczności wstrzymywania trwającej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Minimum dwa rodzaje bolusa:</w:t>
            </w:r>
          </w:p>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ręczny</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programowany – ustawienie objętości do podania lub objętości do podania i czasu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bolusa tzw. </w:t>
            </w:r>
            <w:proofErr w:type="spellStart"/>
            <w:r w:rsidRPr="00915CAA">
              <w:rPr>
                <w:rFonts w:ascii="Century Gothic" w:hAnsi="Century Gothic"/>
                <w:sz w:val="20"/>
                <w:szCs w:val="20"/>
              </w:rPr>
              <w:t>Emergency</w:t>
            </w:r>
            <w:proofErr w:type="spellEnd"/>
            <w:r w:rsidRPr="00915CAA">
              <w:rPr>
                <w:rFonts w:ascii="Century Gothic" w:hAnsi="Century Gothic"/>
                <w:sz w:val="20"/>
                <w:szCs w:val="20"/>
              </w:rPr>
              <w:t xml:space="preserve"> – manualne przesunięcie tłoka strzykawki z funkcją zliczania podanej objętości i prezentacją wartości na wyświetlaczu urządzenia lub dedykowany przycisk na klawiaturze pompy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lang w:val="en-US"/>
              </w:rPr>
            </w:pPr>
            <w:proofErr w:type="spellStart"/>
            <w:r w:rsidRPr="00915CAA">
              <w:rPr>
                <w:rFonts w:ascii="Century Gothic" w:hAnsi="Century Gothic"/>
                <w:sz w:val="20"/>
                <w:szCs w:val="20"/>
                <w:lang w:val="en-US"/>
              </w:rPr>
              <w:t>Funkcja</w:t>
            </w:r>
            <w:proofErr w:type="spellEnd"/>
            <w:r w:rsidRPr="00915CAA">
              <w:rPr>
                <w:rFonts w:ascii="Century Gothic" w:hAnsi="Century Gothic"/>
                <w:sz w:val="20"/>
                <w:szCs w:val="20"/>
                <w:lang w:val="en-US"/>
              </w:rPr>
              <w:t xml:space="preserve"> KVO (Keep Vein Open)</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infuzji umożliwiający zdefiniowanie serii przedziałów (min. 6) o określonych parametrach (prędkość, czas , objętość) dla każdego cyklu. Pompa przeprowadza po kolei terapię właściwą dla każdego z zaprogramowanych przedziałów.</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infuzji „wzrost i spadek” (ang. Ramp and Taper) służący do przeprowadzenia infuzji przy stopniowym wzroście i spadku prędkości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D942E1">
            <w:pPr>
              <w:snapToGrid w:val="0"/>
              <w:jc w:val="both"/>
              <w:rPr>
                <w:rFonts w:ascii="Century Gothic" w:hAnsi="Century Gothic"/>
                <w:sz w:val="20"/>
                <w:szCs w:val="20"/>
              </w:rPr>
            </w:pPr>
            <w:r w:rsidRPr="00915CAA">
              <w:rPr>
                <w:rFonts w:ascii="Century Gothic" w:hAnsi="Century Gothic"/>
                <w:sz w:val="20"/>
                <w:szCs w:val="20"/>
              </w:rPr>
              <w:t>Możliwość transmisji danych z pompy, możliwość połączenia w sieć z komputerem centralnym samodzielnie lub przez stację dokującą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D942E1">
            <w:pPr>
              <w:snapToGrid w:val="0"/>
              <w:jc w:val="both"/>
              <w:rPr>
                <w:rFonts w:ascii="Century Gothic" w:hAnsi="Century Gothic"/>
                <w:sz w:val="20"/>
                <w:szCs w:val="20"/>
              </w:rPr>
            </w:pPr>
            <w:r w:rsidRPr="00915CAA">
              <w:rPr>
                <w:rFonts w:ascii="Century Gothic" w:hAnsi="Century Gothic"/>
                <w:sz w:val="20"/>
                <w:szCs w:val="20"/>
              </w:rPr>
              <w:t xml:space="preserve">Komunikacja pomp umieszczonych w stacji dokującej z komputerem poprzez Ethernet - złącze RJ45.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Opcjonalna możliwość bezprzewodowej komunikacji pomp poza stacją dokującą z komputerem.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na min. 1500 zdarzeń zapisywany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Klawiatura symboliczna lub/i numeryczna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Akustyczno-optyczny system alarmów i ostrzeżeń</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pustej strzykawki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rozładowanego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zbliżającego się rozładowania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przed opróżnieniem strzykawki.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przed końcem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otwartego uchwytu komory strzykawki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prowadzenia znieczulenia zewnątrzoponowego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2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 każdej pompie tryb TCI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Programowanie stężenia w osoczu oraz miejscu działania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Marsch</w:t>
            </w:r>
            <w:proofErr w:type="spellEnd"/>
            <w:r w:rsidRPr="00915CAA">
              <w:rPr>
                <w:rFonts w:ascii="Century Gothic" w:hAnsi="Century Gothic"/>
                <w:sz w:val="20"/>
                <w:szCs w:val="20"/>
              </w:rPr>
              <w:t xml:space="preserve"> oraz </w:t>
            </w:r>
            <w:proofErr w:type="spellStart"/>
            <w:r w:rsidRPr="00915CAA">
              <w:rPr>
                <w:rFonts w:ascii="Century Gothic" w:hAnsi="Century Gothic"/>
                <w:sz w:val="20"/>
                <w:szCs w:val="20"/>
              </w:rPr>
              <w:t>Schnider</w:t>
            </w:r>
            <w:proofErr w:type="spellEnd"/>
            <w:r w:rsidRPr="00915CAA">
              <w:rPr>
                <w:rFonts w:ascii="Century Gothic" w:hAnsi="Century Gothic"/>
                <w:sz w:val="20"/>
                <w:szCs w:val="20"/>
              </w:rPr>
              <w:t xml:space="preserve"> (do wyboru)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Remifentanylu</w:t>
            </w:r>
            <w:proofErr w:type="spellEnd"/>
            <w:r w:rsidRPr="00915CAA">
              <w:rPr>
                <w:rFonts w:ascii="Century Gothic" w:hAnsi="Century Gothic"/>
                <w:sz w:val="20"/>
                <w:szCs w:val="20"/>
              </w:rPr>
              <w: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model farmakokinetyczny Minto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Sufentanylu</w:t>
            </w:r>
            <w:proofErr w:type="spellEnd"/>
            <w:r w:rsidRPr="00915CAA">
              <w:rPr>
                <w:rFonts w:ascii="Century Gothic" w:hAnsi="Century Gothic"/>
                <w:sz w:val="20"/>
                <w:szCs w:val="20"/>
              </w:rPr>
              <w: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Gepts</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Alfentanylu</w:t>
            </w:r>
            <w:proofErr w:type="spellEnd"/>
            <w:r w:rsidRPr="00915CAA">
              <w:rPr>
                <w:rFonts w:ascii="Century Gothic" w:hAnsi="Century Gothic"/>
                <w:sz w:val="20"/>
                <w:szCs w:val="20"/>
              </w:rPr>
              <w: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Maitre</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Podgląd trybu TCI graficzny oraz cyfrowy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w trybie TCI dla dzieci od 5 kg</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 xml:space="preserve"> dla dzieci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Kataria</w:t>
            </w:r>
            <w:proofErr w:type="spellEnd"/>
            <w:r w:rsidRPr="00915CAA">
              <w:rPr>
                <w:rFonts w:ascii="Century Gothic" w:hAnsi="Century Gothic"/>
                <w:sz w:val="20"/>
                <w:szCs w:val="20"/>
              </w:rPr>
              <w:t xml:space="preserve"> i </w:t>
            </w:r>
            <w:proofErr w:type="spellStart"/>
            <w:r w:rsidRPr="00915CAA">
              <w:rPr>
                <w:rFonts w:ascii="Century Gothic" w:hAnsi="Century Gothic"/>
                <w:sz w:val="20"/>
                <w:szCs w:val="20"/>
              </w:rPr>
              <w:t>Paedfusor</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bl>
    <w:p w:rsidR="003C5957" w:rsidRPr="00FF4BF5" w:rsidRDefault="003C5957" w:rsidP="00E65C60">
      <w:pPr>
        <w:spacing w:line="288" w:lineRule="auto"/>
        <w:jc w:val="both"/>
        <w:rPr>
          <w:rFonts w:ascii="Century Gothic" w:hAnsi="Century Gothic"/>
          <w:b/>
          <w:sz w:val="20"/>
          <w:szCs w:val="20"/>
        </w:rPr>
      </w:pPr>
    </w:p>
    <w:p w:rsidR="00E65C60" w:rsidRPr="00FF4BF5" w:rsidRDefault="009B0AF9" w:rsidP="00E65C60">
      <w:pPr>
        <w:spacing w:line="288" w:lineRule="auto"/>
        <w:jc w:val="both"/>
        <w:rPr>
          <w:rFonts w:ascii="Century Gothic" w:hAnsi="Century Gothic"/>
          <w:b/>
        </w:rPr>
      </w:pPr>
      <w:r w:rsidRPr="00FF4BF5">
        <w:rPr>
          <w:rFonts w:ascii="Century Gothic" w:hAnsi="Century Gothic"/>
          <w:b/>
          <w:sz w:val="20"/>
          <w:szCs w:val="20"/>
        </w:rPr>
        <w:t>WARUNKI GWARANCJI, SERWISU I SZKOLENIA</w:t>
      </w:r>
    </w:p>
    <w:tbl>
      <w:tblPr>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0"/>
      </w:tblGrid>
      <w:tr w:rsidR="00CC11F7" w:rsidRPr="009B0AF9" w:rsidTr="009B0AF9">
        <w:tc>
          <w:tcPr>
            <w:tcW w:w="675"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pStyle w:val="Nagwek3"/>
              <w:snapToGrid w:val="0"/>
              <w:spacing w:line="276" w:lineRule="auto"/>
              <w:ind w:left="0" w:firstLine="0"/>
              <w:jc w:val="center"/>
              <w:rPr>
                <w:rFonts w:ascii="Century Gothic" w:hAnsi="Century Gothic"/>
                <w:sz w:val="20"/>
                <w:szCs w:val="20"/>
                <w:lang w:eastAsia="en-US"/>
              </w:rPr>
            </w:pPr>
            <w:r w:rsidRPr="009B0AF9">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OFEROWANY</w:t>
            </w: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SPOSÓB OCENY</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GWARANCJE</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pStyle w:val="AbsatzTableFormat"/>
              <w:snapToGrid w:val="0"/>
              <w:spacing w:before="100" w:beforeAutospacing="1" w:after="100" w:afterAutospacing="1" w:line="288" w:lineRule="auto"/>
              <w:rPr>
                <w:rFonts w:ascii="Century Gothic" w:hAnsi="Century Gothic"/>
                <w:sz w:val="20"/>
                <w:szCs w:val="20"/>
                <w:lang w:eastAsia="en-US"/>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 xml:space="preserve">Okres pełnej, bez </w:t>
            </w:r>
            <w:proofErr w:type="spellStart"/>
            <w:r w:rsidRPr="009B0AF9">
              <w:rPr>
                <w:rFonts w:ascii="Century Gothic" w:hAnsi="Century Gothic"/>
                <w:sz w:val="20"/>
                <w:szCs w:val="20"/>
              </w:rPr>
              <w:t>wyłączeń</w:t>
            </w:r>
            <w:proofErr w:type="spellEnd"/>
            <w:r w:rsidRPr="009B0AF9">
              <w:rPr>
                <w:rFonts w:ascii="Century Gothic" w:hAnsi="Century Gothic"/>
                <w:sz w:val="20"/>
                <w:szCs w:val="20"/>
              </w:rPr>
              <w:t xml:space="preserve"> gwarancji dla wszystkich zaoferowanych elementów wraz z urządzeniami peryferyjnymi (jeśli dotyczy)[liczba miesięcy]</w:t>
            </w:r>
          </w:p>
          <w:p w:rsidR="00E65C60" w:rsidRPr="009B0AF9" w:rsidRDefault="00E65C60" w:rsidP="00D2374F">
            <w:pPr>
              <w:snapToGrid w:val="0"/>
              <w:jc w:val="both"/>
              <w:rPr>
                <w:rFonts w:ascii="Century Gothic" w:hAnsi="Century Gothic"/>
                <w:sz w:val="20"/>
                <w:szCs w:val="20"/>
              </w:rPr>
            </w:pPr>
          </w:p>
          <w:p w:rsidR="00E65C60" w:rsidRPr="009B0AF9" w:rsidRDefault="00E65C60" w:rsidP="00D2374F">
            <w:pPr>
              <w:widowControl w:val="0"/>
              <w:jc w:val="both"/>
              <w:rPr>
                <w:rFonts w:ascii="Century Gothic" w:eastAsia="Calibri" w:hAnsi="Century Gothic" w:cs="Calibri"/>
                <w:i/>
                <w:iCs/>
                <w:sz w:val="20"/>
                <w:szCs w:val="20"/>
              </w:rPr>
            </w:pPr>
            <w:r w:rsidRPr="009B0AF9">
              <w:rPr>
                <w:rFonts w:ascii="Century Gothic" w:hAnsi="Century Gothic"/>
                <w:i/>
                <w:iCs/>
                <w:sz w:val="20"/>
                <w:szCs w:val="20"/>
              </w:rPr>
              <w:t xml:space="preserve">UWAGA – należy podać pełną liczbę miesięcy. Wartości ułamkowe będą przy ocenie zaokrąglane </w:t>
            </w:r>
            <w:r w:rsidRPr="009B0AF9">
              <w:rPr>
                <w:rFonts w:ascii="Century Gothic" w:hAnsi="Century Gothic"/>
                <w:i/>
                <w:iCs/>
                <w:sz w:val="20"/>
                <w:szCs w:val="20"/>
              </w:rPr>
              <w:lastRenderedPageBreak/>
              <w:t xml:space="preserve">w dół – do pełnych miesięcy. Zamawiający zastrzega, że okres rękojmi musi być równy okresowi gwarancji. </w:t>
            </w:r>
            <w:r w:rsidRPr="009B0AF9">
              <w:rPr>
                <w:rFonts w:ascii="Century Gothic" w:hAnsi="Century Gothic"/>
                <w:i/>
                <w:sz w:val="20"/>
                <w:szCs w:val="20"/>
              </w:rPr>
              <w:t>Zamawiający zastrzega, że górną granicą punktacji gwarancji będzie 10 lat.</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3B5CB9">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 xml:space="preserve">=&gt; </w:t>
            </w:r>
            <w:r w:rsidR="003B5CB9" w:rsidRPr="009B0AF9">
              <w:rPr>
                <w:rFonts w:ascii="Century Gothic" w:hAnsi="Century Gothic"/>
                <w:sz w:val="20"/>
                <w:szCs w:val="20"/>
              </w:rPr>
              <w:t>48</w:t>
            </w: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color w:val="FF0000"/>
                <w:sz w:val="20"/>
                <w:szCs w:val="20"/>
              </w:rPr>
            </w:pPr>
          </w:p>
          <w:p w:rsidR="00EC7FF9" w:rsidRPr="009B0AF9" w:rsidRDefault="00EC7FF9" w:rsidP="00EC7FF9">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9B0AF9">
            <w:pPr>
              <w:snapToGrid w:val="0"/>
              <w:jc w:val="both"/>
              <w:rPr>
                <w:rFonts w:ascii="Century Gothic" w:eastAsia="Calibri" w:hAnsi="Century Gothic" w:cs="Calibri"/>
                <w:color w:val="000000" w:themeColor="text1"/>
                <w:sz w:val="20"/>
                <w:szCs w:val="20"/>
              </w:rPr>
            </w:pPr>
            <w:r w:rsidRPr="009B0AF9">
              <w:rPr>
                <w:rFonts w:ascii="Century Gothic" w:hAnsi="Century Gothic"/>
                <w:color w:val="000000" w:themeColor="text1"/>
                <w:sz w:val="20"/>
                <w:szCs w:val="20"/>
              </w:rPr>
              <w:t>Najdłuższy okres – 30 pkt.</w:t>
            </w:r>
          </w:p>
          <w:p w:rsidR="00E65C60" w:rsidRPr="009B0AF9" w:rsidRDefault="00DA3695" w:rsidP="009B0AF9">
            <w:pPr>
              <w:widowControl w:val="0"/>
              <w:snapToGrid w:val="0"/>
              <w:jc w:val="both"/>
              <w:rPr>
                <w:rFonts w:ascii="Century Gothic" w:eastAsia="Calibri" w:hAnsi="Century Gothic" w:cs="Calibri"/>
                <w:sz w:val="20"/>
                <w:szCs w:val="20"/>
              </w:rPr>
            </w:pPr>
            <w:r w:rsidRPr="009B0AF9">
              <w:rPr>
                <w:rFonts w:ascii="Century Gothic" w:hAnsi="Century Gothic"/>
                <w:color w:val="000000" w:themeColor="text1"/>
                <w:sz w:val="20"/>
                <w:szCs w:val="20"/>
              </w:rPr>
              <w:t xml:space="preserve">Pozostałe proporcjonalnie </w:t>
            </w:r>
            <w:r w:rsidR="00E65C60" w:rsidRPr="009B0AF9">
              <w:rPr>
                <w:rFonts w:ascii="Century Gothic" w:hAnsi="Century Gothic"/>
                <w:color w:val="000000" w:themeColor="text1"/>
                <w:sz w:val="20"/>
                <w:szCs w:val="20"/>
              </w:rPr>
              <w:t>mniej względem najdłuższego okresu</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7755C4">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Gwarancja dostępności części zamiennych [liczba lat] – min. 8 lat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iCs/>
                <w:sz w:val="20"/>
                <w:szCs w:val="20"/>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446"/>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WARUNKI SERWISU</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 xml:space="preserve">Zdalna diagnostyka przez chronione łącze </w:t>
            </w:r>
            <w:r w:rsidRPr="009B0AF9">
              <w:rPr>
                <w:rFonts w:ascii="Century Gothic" w:hAnsi="Century Gothic" w:cs="Tahoma"/>
                <w:sz w:val="20"/>
                <w:szCs w:val="20"/>
              </w:rPr>
              <w:t>z możliwością rejestracji i odczytu online rejestrów błędów, oraz monitorowaniem systemu</w:t>
            </w:r>
            <w:r w:rsidRPr="009B0AF9">
              <w:rPr>
                <w:rFonts w:ascii="Century Gothic" w:hAnsi="Century Gothic"/>
                <w:sz w:val="20"/>
                <w:szCs w:val="20"/>
              </w:rPr>
              <w:t>(uwaga – całość ewentualnych prac i wyposażenia sprzętowego, które będzie służyło tej funkcjonalności po stronie wykonawcy)</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7755C4"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W cenie oferty -  przeglądy okresowe w okresie gwarancji (w częstotliwości i w zakresie zgodnym z wymogami producenta).</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Obowiązkowy bezpłatny przegląd z końcem biegu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Wszystkie czynności serwisowe, w tym ponowne podłączenie i uruchomienie sprzętu w miejscu wskazanym przez Zamawiającego oraz  przeglądy konserwacyjne, w okresie gwarancji - w ramach wynagrodzenia umownego</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Czas reakcji (dotyczy także reakcji zdalnej): „przyjęte zgłoszenie – podjęta naprawa” =&lt; 48 [godz.]</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Możliwość zgłoszeń 24h/dobę, 365 dni/rok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Wymiana każdego podzespołu na nowy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eastAsia="Calibri" w:hAnsi="Century Gothic"/>
                <w:sz w:val="20"/>
                <w:szCs w:val="20"/>
              </w:rPr>
              <w:t>Zakończenie działań serwisowych – do 5 dni roboczych od dnia zgłoszenia awarii, a w przypadku konieczności importu części zamiennych, nie dłuższym niż 10</w:t>
            </w:r>
            <w:r w:rsidRPr="009B0AF9">
              <w:rPr>
                <w:rFonts w:ascii="Century Gothic" w:eastAsia="Calibri" w:hAnsi="Century Gothic"/>
                <w:b/>
                <w:sz w:val="20"/>
                <w:szCs w:val="20"/>
              </w:rPr>
              <w:t xml:space="preserve"> </w:t>
            </w:r>
            <w:r w:rsidRPr="009B0AF9">
              <w:rPr>
                <w:rFonts w:ascii="Century Gothic" w:eastAsia="Calibri" w:hAnsi="Century Gothic"/>
                <w:sz w:val="20"/>
                <w:szCs w:val="20"/>
              </w:rPr>
              <w:t>dni roboczych od dnia zgłoszenia awarii.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Struktura serwisowa gwarantująca realizację wymogów stawianych w niniejszej specyfikacji lub udokumentowana/uprawdopodobniona dokumentami możliwość gwarancji realizacji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pogwarancyjnego Wykonawcy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SZKOLENIA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medycznego z zakresu obsługi urządzenia (min. </w:t>
            </w:r>
            <w:r w:rsidR="00505CE7" w:rsidRPr="009B0AF9">
              <w:rPr>
                <w:rFonts w:ascii="Century Gothic" w:hAnsi="Century Gothic"/>
                <w:sz w:val="20"/>
                <w:szCs w:val="20"/>
              </w:rPr>
              <w:t>50</w:t>
            </w:r>
            <w:r w:rsidRPr="009B0AF9">
              <w:rPr>
                <w:rFonts w:ascii="Century Gothic" w:hAnsi="Century Gothic"/>
                <w:sz w:val="20"/>
                <w:szCs w:val="20"/>
              </w:rPr>
              <w:t xml:space="preserve"> osób z możliwością podziału i szkolenia w mniejszych podgrupach) w momencie jego instalacji i odbioru; w razie potrzeby Zamawiającego, możliwość stałego wsparcia aplikacyjnego w początkowym (do 6 -</w:t>
            </w:r>
            <w:proofErr w:type="spellStart"/>
            <w:r w:rsidRPr="009B0AF9">
              <w:rPr>
                <w:rFonts w:ascii="Century Gothic" w:hAnsi="Century Gothic"/>
                <w:sz w:val="20"/>
                <w:szCs w:val="20"/>
              </w:rPr>
              <w:t>ciu</w:t>
            </w:r>
            <w:proofErr w:type="spellEnd"/>
            <w:r w:rsidRPr="009B0AF9">
              <w:rPr>
                <w:rFonts w:ascii="Century Gothic" w:hAnsi="Century Gothic"/>
                <w:sz w:val="20"/>
                <w:szCs w:val="20"/>
              </w:rPr>
              <w:t xml:space="preserve">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technicznego (min. </w:t>
            </w:r>
            <w:r w:rsidR="00505CE7" w:rsidRPr="009B0AF9">
              <w:rPr>
                <w:rFonts w:ascii="Century Gothic" w:hAnsi="Century Gothic"/>
                <w:sz w:val="20"/>
                <w:szCs w:val="20"/>
              </w:rPr>
              <w:t>4</w:t>
            </w:r>
            <w:r w:rsidRPr="009B0AF9">
              <w:rPr>
                <w:rFonts w:ascii="Century Gothic" w:hAnsi="Century Gothic"/>
                <w:sz w:val="20"/>
                <w:szCs w:val="20"/>
              </w:rPr>
              <w:t xml:space="preserve">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Liczba i okres szkoleń:</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 xml:space="preserve">pierwsze szkolenie - tuż po instalacji systemu, w wymiarze do 2 dni roboczych </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dodatkowe, w razie potrzeby, w innym terminie ustalonym z kierownikiem pracowni,</w:t>
            </w:r>
          </w:p>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Uwaga – szkolenia dodatkowe dla wszystkich grup w co najmniej takiej samej liczbie osób jak podano w powyższych punktach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318"/>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9B0AF9">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DOKUMENTACJA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autoSpaceDE w:val="0"/>
              <w:snapToGrid w:val="0"/>
              <w:jc w:val="both"/>
              <w:rPr>
                <w:rFonts w:ascii="Century Gothic" w:eastAsia="Calibri" w:hAnsi="Century Gothic" w:cs="Tahoma"/>
                <w:sz w:val="20"/>
                <w:szCs w:val="20"/>
              </w:rPr>
            </w:pPr>
            <w:r w:rsidRPr="009B0AF9">
              <w:rPr>
                <w:rFonts w:ascii="Century Gothic" w:hAnsi="Century Gothic" w:cs="Tahoma"/>
                <w:sz w:val="20"/>
                <w:szCs w:val="20"/>
              </w:rPr>
              <w:t>Instrukcje obsługi w języku polskim w formie elektronicznej i drukowanej (przekazane w momencie dostawy dla każdego egzemplarza) – dotyczy także urządzeń peryferyjnych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Wykonawca w ramach dostawy sprzętu zobowiązuje się dostarczyć komplet akcesoriów, okablowania itp. asortymentu niezbędnego do uruchomienia i funkcjonowania aparatu jako całości w wymaganej specyfikacją konfiguracji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Dokumentacja (lub tzw. lista kontrolna zawierająca wykaz części i czynności) dotycząca przeglądów technicznych w języku polskim (dostarczona przy dostawie)</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E65C60"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jc w:val="both"/>
              <w:rPr>
                <w:rFonts w:ascii="Century Gothic" w:eastAsia="Calibri" w:hAnsi="Century Gothic" w:cs="Calibri"/>
                <w:sz w:val="20"/>
                <w:szCs w:val="20"/>
              </w:rPr>
            </w:pPr>
            <w:r w:rsidRPr="009B0AF9">
              <w:rPr>
                <w:rFonts w:ascii="Century Gothic" w:hAnsi="Century Gothic"/>
                <w:sz w:val="20"/>
                <w:szCs w:val="20"/>
              </w:rPr>
              <w:t>Możliwość mycia i dezynfekcji poszczególnych elementów aparatów w oparciu o przedstawione przez wykonawcę zalecane preparaty myjące i dezynfekujące.</w:t>
            </w:r>
          </w:p>
          <w:p w:rsidR="00E65C60" w:rsidRPr="009B0AF9" w:rsidRDefault="00E65C60" w:rsidP="00D2374F">
            <w:pPr>
              <w:widowControl w:val="0"/>
              <w:jc w:val="both"/>
              <w:rPr>
                <w:rFonts w:ascii="Century Gothic" w:eastAsia="Calibri" w:hAnsi="Century Gothic" w:cs="Calibri"/>
                <w:i/>
                <w:sz w:val="20"/>
                <w:szCs w:val="20"/>
              </w:rPr>
            </w:pPr>
            <w:r w:rsidRPr="009B0AF9">
              <w:rPr>
                <w:rFonts w:ascii="Century Gothic" w:hAnsi="Century Gothic"/>
                <w:i/>
                <w:sz w:val="20"/>
                <w:szCs w:val="20"/>
              </w:rPr>
              <w:t xml:space="preserve">UWAGA – zalecane środki powinny zawierać nazwy związków chemicznych, a nie tylko nazwy handlowe </w:t>
            </w:r>
            <w:r w:rsidRPr="009B0AF9">
              <w:rPr>
                <w:rFonts w:ascii="Century Gothic" w:hAnsi="Century Gothic"/>
                <w:i/>
                <w:sz w:val="20"/>
                <w:szCs w:val="20"/>
              </w:rPr>
              <w:lastRenderedPageBreak/>
              <w:t>preparatów.</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bl>
    <w:p w:rsidR="00E65C60" w:rsidRPr="00FF4BF5" w:rsidRDefault="00E65C60" w:rsidP="003C5957">
      <w:pPr>
        <w:spacing w:line="288" w:lineRule="auto"/>
        <w:rPr>
          <w:rFonts w:ascii="Century Gothic" w:eastAsia="Calibri" w:hAnsi="Century Gothic" w:cs="Calibri"/>
          <w:b/>
        </w:rPr>
      </w:pPr>
    </w:p>
    <w:sectPr w:rsidR="00E65C60" w:rsidRPr="00FF4BF5" w:rsidSect="0074558B">
      <w:headerReference w:type="default" r:id="rId9"/>
      <w:footerReference w:type="default" r:id="rId10"/>
      <w:pgSz w:w="16838" w:h="11906" w:orient="landscape"/>
      <w:pgMar w:top="1417"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C3D" w:rsidRDefault="00864C3D" w:rsidP="0097030B">
      <w:r>
        <w:separator/>
      </w:r>
    </w:p>
  </w:endnote>
  <w:endnote w:type="continuationSeparator" w:id="0">
    <w:p w:rsidR="00864C3D" w:rsidRDefault="00864C3D" w:rsidP="00970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Comic Sans MS">
    <w:panose1 w:val="030F0702030302020204"/>
    <w:charset w:val="EE"/>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entury Gothic">
    <w:panose1 w:val="020B0502020202020204"/>
    <w:charset w:val="EE"/>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988466"/>
      <w:docPartObj>
        <w:docPartGallery w:val="Page Numbers (Bottom of Page)"/>
        <w:docPartUnique/>
      </w:docPartObj>
    </w:sdtPr>
    <w:sdtEndPr/>
    <w:sdtContent>
      <w:p w:rsidR="0045526A" w:rsidRDefault="0045526A">
        <w:pPr>
          <w:pStyle w:val="Stopka"/>
          <w:jc w:val="right"/>
        </w:pPr>
        <w:r>
          <w:fldChar w:fldCharType="begin"/>
        </w:r>
        <w:r>
          <w:instrText>PAGE   \* MERGEFORMAT</w:instrText>
        </w:r>
        <w:r>
          <w:fldChar w:fldCharType="separate"/>
        </w:r>
        <w:r w:rsidR="00862DFB">
          <w:rPr>
            <w:noProof/>
          </w:rPr>
          <w:t>52</w:t>
        </w:r>
        <w:r>
          <w:fldChar w:fldCharType="end"/>
        </w:r>
      </w:p>
    </w:sdtContent>
  </w:sdt>
  <w:p w:rsidR="0045526A" w:rsidRDefault="0045526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C3D" w:rsidRDefault="00864C3D" w:rsidP="0097030B">
      <w:r>
        <w:separator/>
      </w:r>
    </w:p>
  </w:footnote>
  <w:footnote w:type="continuationSeparator" w:id="0">
    <w:p w:rsidR="00864C3D" w:rsidRDefault="00864C3D" w:rsidP="009703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26A" w:rsidRDefault="0045526A" w:rsidP="00B768CE">
    <w:pPr>
      <w:pStyle w:val="Nagwek"/>
      <w:jc w:val="center"/>
    </w:pPr>
    <w:r>
      <w:rPr>
        <w:noProof/>
        <w:lang w:eastAsia="pl-PL"/>
      </w:rPr>
      <w:drawing>
        <wp:inline distT="0" distB="0" distL="0" distR="0" wp14:anchorId="3AF7D90F" wp14:editId="514EF46E">
          <wp:extent cx="7578137" cy="864000"/>
          <wp:effectExtent l="0" t="0" r="381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RR_mono-72dpi.jpg"/>
                  <pic:cNvPicPr/>
                </pic:nvPicPr>
                <pic:blipFill>
                  <a:blip r:embed="rId1">
                    <a:extLst>
                      <a:ext uri="{28A0092B-C50C-407E-A947-70E740481C1C}">
                        <a14:useLocalDpi xmlns:a14="http://schemas.microsoft.com/office/drawing/2010/main" val="0"/>
                      </a:ext>
                    </a:extLst>
                  </a:blip>
                  <a:stretch>
                    <a:fillRect/>
                  </a:stretch>
                </pic:blipFill>
                <pic:spPr>
                  <a:xfrm>
                    <a:off x="0" y="0"/>
                    <a:ext cx="7578137" cy="864000"/>
                  </a:xfrm>
                  <a:prstGeom prst="rect">
                    <a:avLst/>
                  </a:prstGeom>
                </pic:spPr>
              </pic:pic>
            </a:graphicData>
          </a:graphic>
        </wp:inline>
      </w:drawing>
    </w:r>
  </w:p>
  <w:p w:rsidR="0045526A" w:rsidRPr="00DB32A3" w:rsidRDefault="0045526A" w:rsidP="0074558B">
    <w:pPr>
      <w:tabs>
        <w:tab w:val="center" w:pos="4536"/>
        <w:tab w:val="right" w:pos="14040"/>
      </w:tabs>
      <w:suppressAutoHyphens w:val="0"/>
      <w:rPr>
        <w:kern w:val="0"/>
        <w:sz w:val="20"/>
        <w:szCs w:val="20"/>
        <w:lang w:eastAsia="pl-PL"/>
      </w:rPr>
    </w:pPr>
    <w:r>
      <w:rPr>
        <w:color w:val="000000"/>
        <w:kern w:val="3"/>
        <w:sz w:val="20"/>
        <w:szCs w:val="20"/>
        <w:lang w:eastAsia="pl-PL" w:bidi="hi-IN"/>
      </w:rPr>
      <w:t>NSSU.DFP.271.20.</w:t>
    </w:r>
    <w:r w:rsidRPr="00DB32A3">
      <w:rPr>
        <w:color w:val="000000"/>
        <w:kern w:val="3"/>
        <w:sz w:val="20"/>
        <w:szCs w:val="20"/>
        <w:lang w:eastAsia="pl-PL" w:bidi="hi-IN"/>
      </w:rPr>
      <w:t>2018.LS</w:t>
    </w:r>
    <w:r w:rsidRPr="00DB32A3">
      <w:rPr>
        <w:kern w:val="0"/>
        <w:sz w:val="20"/>
        <w:szCs w:val="20"/>
        <w:lang w:eastAsia="pl-PL"/>
      </w:rPr>
      <w:tab/>
    </w:r>
    <w:r w:rsidRPr="00DB32A3">
      <w:rPr>
        <w:kern w:val="0"/>
        <w:sz w:val="20"/>
        <w:szCs w:val="20"/>
        <w:lang w:eastAsia="pl-PL"/>
      </w:rPr>
      <w:tab/>
      <w:t>Załącznik nr 1a do specyfikacji</w:t>
    </w:r>
  </w:p>
  <w:p w:rsidR="0045526A" w:rsidRDefault="0045526A" w:rsidP="0074558B">
    <w:pPr>
      <w:tabs>
        <w:tab w:val="center" w:pos="4536"/>
        <w:tab w:val="right" w:pos="14040"/>
      </w:tabs>
      <w:suppressAutoHyphens w:val="0"/>
      <w:jc w:val="right"/>
      <w:rPr>
        <w:kern w:val="0"/>
        <w:sz w:val="20"/>
        <w:szCs w:val="20"/>
        <w:lang w:eastAsia="pl-PL"/>
      </w:rPr>
    </w:pPr>
    <w:r w:rsidRPr="00DB32A3">
      <w:rPr>
        <w:kern w:val="0"/>
        <w:sz w:val="20"/>
        <w:szCs w:val="20"/>
        <w:lang w:eastAsia="pl-PL"/>
      </w:rPr>
      <w:t>Załącznik nr …… do umowy</w:t>
    </w:r>
  </w:p>
  <w:p w:rsidR="0045526A" w:rsidRDefault="0045526A" w:rsidP="0074558B">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rPr>
    </w:lvl>
  </w:abstractNum>
  <w:abstractNum w:abstractNumId="2">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3">
    <w:nsid w:val="00000004"/>
    <w:multiLevelType w:val="singleLevel"/>
    <w:tmpl w:val="9E02435C"/>
    <w:name w:val="WW8Num4"/>
    <w:lvl w:ilvl="0">
      <w:start w:val="1"/>
      <w:numFmt w:val="decimal"/>
      <w:lvlText w:val="%1."/>
      <w:lvlJc w:val="center"/>
      <w:pPr>
        <w:tabs>
          <w:tab w:val="num" w:pos="720"/>
        </w:tabs>
        <w:ind w:left="720" w:hanging="360"/>
      </w:pPr>
      <w:rPr>
        <w:rFonts w:ascii="Times New Roman" w:eastAsia="Times New Roman" w:hAnsi="Times New Roman" w:cs="Times New Roman" w:hint="default"/>
        <w:b w:val="0"/>
        <w:bCs w:val="0"/>
      </w:rPr>
    </w:lvl>
  </w:abstractNum>
  <w:abstractNum w:abstractNumId="4">
    <w:nsid w:val="0C013FCF"/>
    <w:multiLevelType w:val="hybridMultilevel"/>
    <w:tmpl w:val="874E48FC"/>
    <w:lvl w:ilvl="0" w:tplc="5E5EC80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10BC2A49"/>
    <w:multiLevelType w:val="hybridMultilevel"/>
    <w:tmpl w:val="FB7AFF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DF506C2"/>
    <w:multiLevelType w:val="hybridMultilevel"/>
    <w:tmpl w:val="FF947D72"/>
    <w:lvl w:ilvl="0" w:tplc="291ED5DA">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33615AD5"/>
    <w:multiLevelType w:val="hybridMultilevel"/>
    <w:tmpl w:val="C11CCF9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B0C44CF"/>
    <w:multiLevelType w:val="hybridMultilevel"/>
    <w:tmpl w:val="F00806F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4C2D25C4"/>
    <w:multiLevelType w:val="hybridMultilevel"/>
    <w:tmpl w:val="FE4C31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F64714E"/>
    <w:multiLevelType w:val="hybridMultilevel"/>
    <w:tmpl w:val="98322D4C"/>
    <w:lvl w:ilvl="0" w:tplc="126AC6D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6F962729"/>
    <w:multiLevelType w:val="hybridMultilevel"/>
    <w:tmpl w:val="BC965858"/>
    <w:lvl w:ilvl="0" w:tplc="BEE61AE2">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num>
  <w:num w:numId="4">
    <w:abstractNumId w:val="11"/>
  </w:num>
  <w:num w:numId="5">
    <w:abstractNumId w:val="11"/>
  </w:num>
  <w:num w:numId="6">
    <w:abstractNumId w:val="9"/>
  </w:num>
  <w:num w:numId="7">
    <w:abstractNumId w:val="0"/>
  </w:num>
  <w:num w:numId="8">
    <w:abstractNumId w:val="4"/>
  </w:num>
  <w:num w:numId="9">
    <w:abstractNumId w:val="2"/>
  </w:num>
  <w:num w:numId="10">
    <w:abstractNumId w:val="4"/>
  </w:num>
  <w:num w:numId="11">
    <w:abstractNumId w:val="8"/>
  </w:num>
  <w:num w:numId="12">
    <w:abstractNumId w:val="6"/>
  </w:num>
  <w:num w:numId="13">
    <w:abstractNumId w:val="7"/>
  </w:num>
  <w:num w:numId="14">
    <w:abstractNumId w:val="5"/>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A22"/>
    <w:rsid w:val="0000023D"/>
    <w:rsid w:val="00012C6D"/>
    <w:rsid w:val="00015C90"/>
    <w:rsid w:val="0002050E"/>
    <w:rsid w:val="00027AE6"/>
    <w:rsid w:val="00031551"/>
    <w:rsid w:val="00036190"/>
    <w:rsid w:val="000371FC"/>
    <w:rsid w:val="000378F8"/>
    <w:rsid w:val="00037FF4"/>
    <w:rsid w:val="00040922"/>
    <w:rsid w:val="00040977"/>
    <w:rsid w:val="00045620"/>
    <w:rsid w:val="0005212C"/>
    <w:rsid w:val="000675B2"/>
    <w:rsid w:val="000715B8"/>
    <w:rsid w:val="000829D4"/>
    <w:rsid w:val="00091268"/>
    <w:rsid w:val="0009159C"/>
    <w:rsid w:val="00093EFD"/>
    <w:rsid w:val="000A197A"/>
    <w:rsid w:val="000A6ED8"/>
    <w:rsid w:val="000C0DAF"/>
    <w:rsid w:val="000C74F1"/>
    <w:rsid w:val="000F30BC"/>
    <w:rsid w:val="000F3AE9"/>
    <w:rsid w:val="001169A4"/>
    <w:rsid w:val="00120B6C"/>
    <w:rsid w:val="0012165A"/>
    <w:rsid w:val="00127DF5"/>
    <w:rsid w:val="001411EA"/>
    <w:rsid w:val="00146AF9"/>
    <w:rsid w:val="00152636"/>
    <w:rsid w:val="00156648"/>
    <w:rsid w:val="00170007"/>
    <w:rsid w:val="001711EE"/>
    <w:rsid w:val="001850BD"/>
    <w:rsid w:val="0019242D"/>
    <w:rsid w:val="001A0751"/>
    <w:rsid w:val="001A0944"/>
    <w:rsid w:val="001B0A09"/>
    <w:rsid w:val="001B1988"/>
    <w:rsid w:val="001B21D0"/>
    <w:rsid w:val="001B67B6"/>
    <w:rsid w:val="001C2FB5"/>
    <w:rsid w:val="001C6B00"/>
    <w:rsid w:val="001D3E22"/>
    <w:rsid w:val="001D755E"/>
    <w:rsid w:val="001E4E45"/>
    <w:rsid w:val="001E50FA"/>
    <w:rsid w:val="001E60D8"/>
    <w:rsid w:val="00202ED0"/>
    <w:rsid w:val="0020452A"/>
    <w:rsid w:val="002048DD"/>
    <w:rsid w:val="00207897"/>
    <w:rsid w:val="00212609"/>
    <w:rsid w:val="00215BBA"/>
    <w:rsid w:val="00222EA4"/>
    <w:rsid w:val="00223833"/>
    <w:rsid w:val="0022601C"/>
    <w:rsid w:val="00226CE3"/>
    <w:rsid w:val="00232F25"/>
    <w:rsid w:val="00236ACC"/>
    <w:rsid w:val="002454E8"/>
    <w:rsid w:val="002476A8"/>
    <w:rsid w:val="00283C24"/>
    <w:rsid w:val="00285673"/>
    <w:rsid w:val="002940DD"/>
    <w:rsid w:val="00296CA6"/>
    <w:rsid w:val="002A5CCB"/>
    <w:rsid w:val="002B0A30"/>
    <w:rsid w:val="002B3EFE"/>
    <w:rsid w:val="002B67B9"/>
    <w:rsid w:val="002C2283"/>
    <w:rsid w:val="002C2510"/>
    <w:rsid w:val="002C3D8E"/>
    <w:rsid w:val="002C5FC5"/>
    <w:rsid w:val="002D0A4E"/>
    <w:rsid w:val="002D4F4C"/>
    <w:rsid w:val="002E780E"/>
    <w:rsid w:val="002F039C"/>
    <w:rsid w:val="002F4F6A"/>
    <w:rsid w:val="0030195E"/>
    <w:rsid w:val="00314D57"/>
    <w:rsid w:val="0032073B"/>
    <w:rsid w:val="00326200"/>
    <w:rsid w:val="00333C64"/>
    <w:rsid w:val="00335708"/>
    <w:rsid w:val="00335E17"/>
    <w:rsid w:val="00340AFE"/>
    <w:rsid w:val="003604CB"/>
    <w:rsid w:val="00362CE9"/>
    <w:rsid w:val="00371201"/>
    <w:rsid w:val="003721A4"/>
    <w:rsid w:val="00377429"/>
    <w:rsid w:val="00377A12"/>
    <w:rsid w:val="00380106"/>
    <w:rsid w:val="00381162"/>
    <w:rsid w:val="0038176D"/>
    <w:rsid w:val="00382031"/>
    <w:rsid w:val="00382231"/>
    <w:rsid w:val="00386BDE"/>
    <w:rsid w:val="0039239F"/>
    <w:rsid w:val="003943D9"/>
    <w:rsid w:val="00394675"/>
    <w:rsid w:val="003A083D"/>
    <w:rsid w:val="003A2A8E"/>
    <w:rsid w:val="003A3619"/>
    <w:rsid w:val="003B07FE"/>
    <w:rsid w:val="003B1594"/>
    <w:rsid w:val="003B5CB9"/>
    <w:rsid w:val="003B7B28"/>
    <w:rsid w:val="003B7CAB"/>
    <w:rsid w:val="003C0E07"/>
    <w:rsid w:val="003C1631"/>
    <w:rsid w:val="003C4B74"/>
    <w:rsid w:val="003C4F5B"/>
    <w:rsid w:val="003C5957"/>
    <w:rsid w:val="003D4934"/>
    <w:rsid w:val="003D6722"/>
    <w:rsid w:val="003E0512"/>
    <w:rsid w:val="003E6054"/>
    <w:rsid w:val="003E7B4E"/>
    <w:rsid w:val="003F5A1C"/>
    <w:rsid w:val="0040385E"/>
    <w:rsid w:val="004039C8"/>
    <w:rsid w:val="00407EAF"/>
    <w:rsid w:val="00414A87"/>
    <w:rsid w:val="0042133C"/>
    <w:rsid w:val="00422218"/>
    <w:rsid w:val="00425730"/>
    <w:rsid w:val="00427259"/>
    <w:rsid w:val="00430D7B"/>
    <w:rsid w:val="00432FEC"/>
    <w:rsid w:val="004375AA"/>
    <w:rsid w:val="00441629"/>
    <w:rsid w:val="00450701"/>
    <w:rsid w:val="004524E3"/>
    <w:rsid w:val="0045325E"/>
    <w:rsid w:val="00453C18"/>
    <w:rsid w:val="00454E47"/>
    <w:rsid w:val="0045526A"/>
    <w:rsid w:val="00457F86"/>
    <w:rsid w:val="00463E10"/>
    <w:rsid w:val="0046438B"/>
    <w:rsid w:val="00464820"/>
    <w:rsid w:val="00465404"/>
    <w:rsid w:val="0046688A"/>
    <w:rsid w:val="00467430"/>
    <w:rsid w:val="00471F67"/>
    <w:rsid w:val="004820FE"/>
    <w:rsid w:val="00482C62"/>
    <w:rsid w:val="004837D5"/>
    <w:rsid w:val="00484622"/>
    <w:rsid w:val="00491B34"/>
    <w:rsid w:val="00491EDA"/>
    <w:rsid w:val="0049709F"/>
    <w:rsid w:val="004A2FFA"/>
    <w:rsid w:val="004A45D9"/>
    <w:rsid w:val="004C4871"/>
    <w:rsid w:val="004C72BB"/>
    <w:rsid w:val="004C7660"/>
    <w:rsid w:val="004D0709"/>
    <w:rsid w:val="004D4866"/>
    <w:rsid w:val="004D52CB"/>
    <w:rsid w:val="004D58EA"/>
    <w:rsid w:val="004D77CA"/>
    <w:rsid w:val="004E0A42"/>
    <w:rsid w:val="004E3EA0"/>
    <w:rsid w:val="0050007E"/>
    <w:rsid w:val="00500EDB"/>
    <w:rsid w:val="00505CE7"/>
    <w:rsid w:val="00510F05"/>
    <w:rsid w:val="0051157A"/>
    <w:rsid w:val="005214C2"/>
    <w:rsid w:val="005242BC"/>
    <w:rsid w:val="005275CF"/>
    <w:rsid w:val="00527CCC"/>
    <w:rsid w:val="00532FA0"/>
    <w:rsid w:val="00533A2C"/>
    <w:rsid w:val="0054457E"/>
    <w:rsid w:val="005614F6"/>
    <w:rsid w:val="0056442A"/>
    <w:rsid w:val="00575A91"/>
    <w:rsid w:val="00576431"/>
    <w:rsid w:val="00580D28"/>
    <w:rsid w:val="00584D02"/>
    <w:rsid w:val="00590294"/>
    <w:rsid w:val="00594DF0"/>
    <w:rsid w:val="00595080"/>
    <w:rsid w:val="00595DAB"/>
    <w:rsid w:val="005A4E9F"/>
    <w:rsid w:val="005A70ED"/>
    <w:rsid w:val="005D3019"/>
    <w:rsid w:val="005D3BF2"/>
    <w:rsid w:val="005D7B6A"/>
    <w:rsid w:val="005E4EE6"/>
    <w:rsid w:val="005E7BE2"/>
    <w:rsid w:val="005F4345"/>
    <w:rsid w:val="005F4AAA"/>
    <w:rsid w:val="00603F8A"/>
    <w:rsid w:val="00606932"/>
    <w:rsid w:val="006159A5"/>
    <w:rsid w:val="00616AF3"/>
    <w:rsid w:val="00617F1E"/>
    <w:rsid w:val="00621544"/>
    <w:rsid w:val="0064111E"/>
    <w:rsid w:val="00654208"/>
    <w:rsid w:val="00665F92"/>
    <w:rsid w:val="00666C11"/>
    <w:rsid w:val="00672BAE"/>
    <w:rsid w:val="00673B16"/>
    <w:rsid w:val="00684C72"/>
    <w:rsid w:val="00685339"/>
    <w:rsid w:val="00695F17"/>
    <w:rsid w:val="00696EF8"/>
    <w:rsid w:val="006A19F3"/>
    <w:rsid w:val="006A3EC6"/>
    <w:rsid w:val="006A6849"/>
    <w:rsid w:val="006A695E"/>
    <w:rsid w:val="006B0097"/>
    <w:rsid w:val="006B288D"/>
    <w:rsid w:val="006B44AC"/>
    <w:rsid w:val="006B6476"/>
    <w:rsid w:val="006B728A"/>
    <w:rsid w:val="006D2B82"/>
    <w:rsid w:val="006F4220"/>
    <w:rsid w:val="006F6219"/>
    <w:rsid w:val="00701F71"/>
    <w:rsid w:val="007056D4"/>
    <w:rsid w:val="00707DB0"/>
    <w:rsid w:val="00710248"/>
    <w:rsid w:val="007138FD"/>
    <w:rsid w:val="00713FA0"/>
    <w:rsid w:val="007158B2"/>
    <w:rsid w:val="00717953"/>
    <w:rsid w:val="007217D3"/>
    <w:rsid w:val="0074558B"/>
    <w:rsid w:val="00756C18"/>
    <w:rsid w:val="007755C4"/>
    <w:rsid w:val="007806FC"/>
    <w:rsid w:val="0078584E"/>
    <w:rsid w:val="007A204E"/>
    <w:rsid w:val="007B3799"/>
    <w:rsid w:val="007C682C"/>
    <w:rsid w:val="007D4F6C"/>
    <w:rsid w:val="007E7FFE"/>
    <w:rsid w:val="007F3C77"/>
    <w:rsid w:val="007F4626"/>
    <w:rsid w:val="007F65D2"/>
    <w:rsid w:val="00800B31"/>
    <w:rsid w:val="00811C9A"/>
    <w:rsid w:val="008216B8"/>
    <w:rsid w:val="0082254E"/>
    <w:rsid w:val="008227D9"/>
    <w:rsid w:val="00825848"/>
    <w:rsid w:val="0083028A"/>
    <w:rsid w:val="00835D13"/>
    <w:rsid w:val="00837226"/>
    <w:rsid w:val="00841E67"/>
    <w:rsid w:val="00844787"/>
    <w:rsid w:val="00846A22"/>
    <w:rsid w:val="00853897"/>
    <w:rsid w:val="0085530F"/>
    <w:rsid w:val="00855868"/>
    <w:rsid w:val="00856CD5"/>
    <w:rsid w:val="00860E72"/>
    <w:rsid w:val="00860ED3"/>
    <w:rsid w:val="00862DFB"/>
    <w:rsid w:val="008636FA"/>
    <w:rsid w:val="00864C3D"/>
    <w:rsid w:val="00873066"/>
    <w:rsid w:val="00875BCD"/>
    <w:rsid w:val="00884F87"/>
    <w:rsid w:val="008913F8"/>
    <w:rsid w:val="00891F00"/>
    <w:rsid w:val="00892EA0"/>
    <w:rsid w:val="008A6DA9"/>
    <w:rsid w:val="008B52EB"/>
    <w:rsid w:val="008C1D01"/>
    <w:rsid w:val="008C537C"/>
    <w:rsid w:val="008C66D1"/>
    <w:rsid w:val="008E3E15"/>
    <w:rsid w:val="008F7C95"/>
    <w:rsid w:val="00904FE6"/>
    <w:rsid w:val="009139C7"/>
    <w:rsid w:val="00915CAA"/>
    <w:rsid w:val="0092338C"/>
    <w:rsid w:val="00923CA1"/>
    <w:rsid w:val="00933021"/>
    <w:rsid w:val="00934FB9"/>
    <w:rsid w:val="00941F3C"/>
    <w:rsid w:val="00942EF7"/>
    <w:rsid w:val="00944122"/>
    <w:rsid w:val="00945E6A"/>
    <w:rsid w:val="00950311"/>
    <w:rsid w:val="009524EE"/>
    <w:rsid w:val="00954559"/>
    <w:rsid w:val="00963290"/>
    <w:rsid w:val="0097030B"/>
    <w:rsid w:val="00981C7D"/>
    <w:rsid w:val="00991906"/>
    <w:rsid w:val="00992016"/>
    <w:rsid w:val="009971DF"/>
    <w:rsid w:val="009B0AF9"/>
    <w:rsid w:val="009B5A32"/>
    <w:rsid w:val="009B7B87"/>
    <w:rsid w:val="009C43D6"/>
    <w:rsid w:val="009C47BD"/>
    <w:rsid w:val="009D24B6"/>
    <w:rsid w:val="009F0890"/>
    <w:rsid w:val="009F2002"/>
    <w:rsid w:val="009F4A93"/>
    <w:rsid w:val="009F648D"/>
    <w:rsid w:val="00A03535"/>
    <w:rsid w:val="00A04E51"/>
    <w:rsid w:val="00A0575F"/>
    <w:rsid w:val="00A07EDC"/>
    <w:rsid w:val="00A106E9"/>
    <w:rsid w:val="00A21FE8"/>
    <w:rsid w:val="00A325FD"/>
    <w:rsid w:val="00A3477E"/>
    <w:rsid w:val="00A3507B"/>
    <w:rsid w:val="00A42ECE"/>
    <w:rsid w:val="00A42EF9"/>
    <w:rsid w:val="00A6056C"/>
    <w:rsid w:val="00A61B48"/>
    <w:rsid w:val="00A62F12"/>
    <w:rsid w:val="00A63FA0"/>
    <w:rsid w:val="00A72FB7"/>
    <w:rsid w:val="00AA3A2D"/>
    <w:rsid w:val="00AB60A5"/>
    <w:rsid w:val="00AC5DFF"/>
    <w:rsid w:val="00AC6AEF"/>
    <w:rsid w:val="00AD2031"/>
    <w:rsid w:val="00AD7483"/>
    <w:rsid w:val="00AF1DE6"/>
    <w:rsid w:val="00AF352F"/>
    <w:rsid w:val="00AF5A85"/>
    <w:rsid w:val="00B00840"/>
    <w:rsid w:val="00B05097"/>
    <w:rsid w:val="00B065B9"/>
    <w:rsid w:val="00B100B8"/>
    <w:rsid w:val="00B239DD"/>
    <w:rsid w:val="00B267F0"/>
    <w:rsid w:val="00B369C1"/>
    <w:rsid w:val="00B3713E"/>
    <w:rsid w:val="00B37A22"/>
    <w:rsid w:val="00B4568B"/>
    <w:rsid w:val="00B45AF9"/>
    <w:rsid w:val="00B4747E"/>
    <w:rsid w:val="00B515B2"/>
    <w:rsid w:val="00B51D9B"/>
    <w:rsid w:val="00B665B6"/>
    <w:rsid w:val="00B67F45"/>
    <w:rsid w:val="00B75FC1"/>
    <w:rsid w:val="00B768CE"/>
    <w:rsid w:val="00B81B98"/>
    <w:rsid w:val="00B83817"/>
    <w:rsid w:val="00BA1C1F"/>
    <w:rsid w:val="00BA6177"/>
    <w:rsid w:val="00BA61A8"/>
    <w:rsid w:val="00BA7BEF"/>
    <w:rsid w:val="00BB7367"/>
    <w:rsid w:val="00BC77E7"/>
    <w:rsid w:val="00BD595F"/>
    <w:rsid w:val="00BD6384"/>
    <w:rsid w:val="00BE0AFF"/>
    <w:rsid w:val="00BF2BCD"/>
    <w:rsid w:val="00C00695"/>
    <w:rsid w:val="00C025D5"/>
    <w:rsid w:val="00C1088B"/>
    <w:rsid w:val="00C14DDF"/>
    <w:rsid w:val="00C22176"/>
    <w:rsid w:val="00C2792A"/>
    <w:rsid w:val="00C31BAB"/>
    <w:rsid w:val="00C33938"/>
    <w:rsid w:val="00C34E1D"/>
    <w:rsid w:val="00C520F9"/>
    <w:rsid w:val="00C52849"/>
    <w:rsid w:val="00C65F28"/>
    <w:rsid w:val="00C66278"/>
    <w:rsid w:val="00C6742D"/>
    <w:rsid w:val="00C70B0F"/>
    <w:rsid w:val="00C87A1D"/>
    <w:rsid w:val="00C94D40"/>
    <w:rsid w:val="00C96056"/>
    <w:rsid w:val="00C971C1"/>
    <w:rsid w:val="00C9789D"/>
    <w:rsid w:val="00CA1FC4"/>
    <w:rsid w:val="00CA6691"/>
    <w:rsid w:val="00CB4793"/>
    <w:rsid w:val="00CC11F7"/>
    <w:rsid w:val="00CD048D"/>
    <w:rsid w:val="00CD102A"/>
    <w:rsid w:val="00CD232C"/>
    <w:rsid w:val="00CD2E9A"/>
    <w:rsid w:val="00CF14B1"/>
    <w:rsid w:val="00CF262D"/>
    <w:rsid w:val="00CF2FE4"/>
    <w:rsid w:val="00D021ED"/>
    <w:rsid w:val="00D10C92"/>
    <w:rsid w:val="00D111A9"/>
    <w:rsid w:val="00D143DF"/>
    <w:rsid w:val="00D2374F"/>
    <w:rsid w:val="00D25D55"/>
    <w:rsid w:val="00D26434"/>
    <w:rsid w:val="00D2769B"/>
    <w:rsid w:val="00D31E77"/>
    <w:rsid w:val="00D3495C"/>
    <w:rsid w:val="00D404D6"/>
    <w:rsid w:val="00D4395A"/>
    <w:rsid w:val="00D5506F"/>
    <w:rsid w:val="00D70210"/>
    <w:rsid w:val="00D729FE"/>
    <w:rsid w:val="00D73096"/>
    <w:rsid w:val="00D74B9E"/>
    <w:rsid w:val="00D828DF"/>
    <w:rsid w:val="00D84591"/>
    <w:rsid w:val="00D8482C"/>
    <w:rsid w:val="00D9158F"/>
    <w:rsid w:val="00D942E1"/>
    <w:rsid w:val="00DA0416"/>
    <w:rsid w:val="00DA16A6"/>
    <w:rsid w:val="00DA1E0A"/>
    <w:rsid w:val="00DA3695"/>
    <w:rsid w:val="00DB0AB8"/>
    <w:rsid w:val="00DB46DA"/>
    <w:rsid w:val="00DB6159"/>
    <w:rsid w:val="00DB61BA"/>
    <w:rsid w:val="00DC104A"/>
    <w:rsid w:val="00DC182F"/>
    <w:rsid w:val="00DC2B07"/>
    <w:rsid w:val="00DC738F"/>
    <w:rsid w:val="00DC7FD3"/>
    <w:rsid w:val="00DD3378"/>
    <w:rsid w:val="00DD3BBC"/>
    <w:rsid w:val="00DD400C"/>
    <w:rsid w:val="00DE1AD8"/>
    <w:rsid w:val="00DF1638"/>
    <w:rsid w:val="00E03002"/>
    <w:rsid w:val="00E0329C"/>
    <w:rsid w:val="00E078D0"/>
    <w:rsid w:val="00E1453A"/>
    <w:rsid w:val="00E1660F"/>
    <w:rsid w:val="00E41231"/>
    <w:rsid w:val="00E428C1"/>
    <w:rsid w:val="00E519C9"/>
    <w:rsid w:val="00E53CD1"/>
    <w:rsid w:val="00E55F59"/>
    <w:rsid w:val="00E55FDD"/>
    <w:rsid w:val="00E56709"/>
    <w:rsid w:val="00E57824"/>
    <w:rsid w:val="00E6393C"/>
    <w:rsid w:val="00E63DB3"/>
    <w:rsid w:val="00E65C60"/>
    <w:rsid w:val="00E67707"/>
    <w:rsid w:val="00E72F95"/>
    <w:rsid w:val="00E95429"/>
    <w:rsid w:val="00EA2768"/>
    <w:rsid w:val="00EB273D"/>
    <w:rsid w:val="00EB3A2F"/>
    <w:rsid w:val="00EB69A4"/>
    <w:rsid w:val="00EC1A54"/>
    <w:rsid w:val="00EC7FF9"/>
    <w:rsid w:val="00ED2776"/>
    <w:rsid w:val="00ED4C77"/>
    <w:rsid w:val="00ED6304"/>
    <w:rsid w:val="00ED6689"/>
    <w:rsid w:val="00EE10DC"/>
    <w:rsid w:val="00EE396D"/>
    <w:rsid w:val="00F04BFD"/>
    <w:rsid w:val="00F1011A"/>
    <w:rsid w:val="00F11AE1"/>
    <w:rsid w:val="00F15255"/>
    <w:rsid w:val="00F174B5"/>
    <w:rsid w:val="00F2539C"/>
    <w:rsid w:val="00F3377E"/>
    <w:rsid w:val="00F358DF"/>
    <w:rsid w:val="00F35A1E"/>
    <w:rsid w:val="00F37854"/>
    <w:rsid w:val="00F42538"/>
    <w:rsid w:val="00F5426F"/>
    <w:rsid w:val="00F54DB0"/>
    <w:rsid w:val="00F729E3"/>
    <w:rsid w:val="00F73CAA"/>
    <w:rsid w:val="00F83F28"/>
    <w:rsid w:val="00F84509"/>
    <w:rsid w:val="00F84824"/>
    <w:rsid w:val="00F85F43"/>
    <w:rsid w:val="00F87151"/>
    <w:rsid w:val="00F92115"/>
    <w:rsid w:val="00FA4D28"/>
    <w:rsid w:val="00FA4FF0"/>
    <w:rsid w:val="00FA5405"/>
    <w:rsid w:val="00FA5B5B"/>
    <w:rsid w:val="00FB13B2"/>
    <w:rsid w:val="00FB3281"/>
    <w:rsid w:val="00FC3BD9"/>
    <w:rsid w:val="00FC4E50"/>
    <w:rsid w:val="00FC6579"/>
    <w:rsid w:val="00FC7DB0"/>
    <w:rsid w:val="00FD357C"/>
    <w:rsid w:val="00FD367C"/>
    <w:rsid w:val="00FD3962"/>
    <w:rsid w:val="00FE19F3"/>
    <w:rsid w:val="00FE51A0"/>
    <w:rsid w:val="00FE7723"/>
    <w:rsid w:val="00FF0E61"/>
    <w:rsid w:val="00FF45B2"/>
    <w:rsid w:val="00FF4B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842777">
      <w:bodyDiv w:val="1"/>
      <w:marLeft w:val="0"/>
      <w:marRight w:val="0"/>
      <w:marTop w:val="0"/>
      <w:marBottom w:val="0"/>
      <w:divBdr>
        <w:top w:val="none" w:sz="0" w:space="0" w:color="auto"/>
        <w:left w:val="none" w:sz="0" w:space="0" w:color="auto"/>
        <w:bottom w:val="none" w:sz="0" w:space="0" w:color="auto"/>
        <w:right w:val="none" w:sz="0" w:space="0" w:color="auto"/>
      </w:divBdr>
    </w:div>
    <w:div w:id="605386543">
      <w:bodyDiv w:val="1"/>
      <w:marLeft w:val="0"/>
      <w:marRight w:val="0"/>
      <w:marTop w:val="0"/>
      <w:marBottom w:val="0"/>
      <w:divBdr>
        <w:top w:val="none" w:sz="0" w:space="0" w:color="auto"/>
        <w:left w:val="none" w:sz="0" w:space="0" w:color="auto"/>
        <w:bottom w:val="none" w:sz="0" w:space="0" w:color="auto"/>
        <w:right w:val="none" w:sz="0" w:space="0" w:color="auto"/>
      </w:divBdr>
    </w:div>
    <w:div w:id="657417901">
      <w:bodyDiv w:val="1"/>
      <w:marLeft w:val="0"/>
      <w:marRight w:val="0"/>
      <w:marTop w:val="0"/>
      <w:marBottom w:val="0"/>
      <w:divBdr>
        <w:top w:val="none" w:sz="0" w:space="0" w:color="auto"/>
        <w:left w:val="none" w:sz="0" w:space="0" w:color="auto"/>
        <w:bottom w:val="none" w:sz="0" w:space="0" w:color="auto"/>
        <w:right w:val="none" w:sz="0" w:space="0" w:color="auto"/>
      </w:divBdr>
    </w:div>
    <w:div w:id="950090565">
      <w:bodyDiv w:val="1"/>
      <w:marLeft w:val="0"/>
      <w:marRight w:val="0"/>
      <w:marTop w:val="0"/>
      <w:marBottom w:val="0"/>
      <w:divBdr>
        <w:top w:val="none" w:sz="0" w:space="0" w:color="auto"/>
        <w:left w:val="none" w:sz="0" w:space="0" w:color="auto"/>
        <w:bottom w:val="none" w:sz="0" w:space="0" w:color="auto"/>
        <w:right w:val="none" w:sz="0" w:space="0" w:color="auto"/>
      </w:divBdr>
    </w:div>
    <w:div w:id="107755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4D72A4-C4BF-4663-A63F-70B86D589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8486</Words>
  <Characters>50917</Characters>
  <Application>Microsoft Office Word</Application>
  <DocSecurity>0</DocSecurity>
  <Lines>424</Lines>
  <Paragraphs>118</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59285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2018-06-15T05:30:00Z</dcterms:created>
  <dcterms:modified xsi:type="dcterms:W3CDTF">2018-06-15T05:44:00Z</dcterms:modified>
</cp:coreProperties>
</file>