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33495" w:rsidRPr="0053349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w zakresie uzupełniających dyżurów lekarskich w Oddziale Klinicznym Chirurgii Ogólnej, Onkologicznej, Metabolicznej i Stanów Nagłych na rzecz pacjentów Szpitala Uniwersyteckiego w Krakowie</w:t>
      </w:r>
      <w:r w:rsidR="00533495">
        <w:rPr>
          <w:rFonts w:ascii="Garamond" w:eastAsia="Times New Roman" w:hAnsi="Garamond" w:cs="Times New Roman"/>
          <w:b/>
          <w:bCs/>
          <w:u w:val="single"/>
          <w:lang w:eastAsia="pl-PL"/>
        </w:rPr>
        <w:t>.</w:t>
      </w:r>
      <w:bookmarkStart w:id="0" w:name="_GoBack"/>
      <w:bookmarkEnd w:id="0"/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533495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33495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65AE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2020-06-10T10:53:00Z</dcterms:modified>
</cp:coreProperties>
</file>