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33495" w:rsidRPr="0053349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w zakresie uzupełniających dyżurów lekarskich w Oddziale Klinicznym Chirurgii Ogólnej, Onkologicznej, Metabolicznej i Stanów Nagłych na rzecz pacjentów Szpitala Uniwersyteckiego w Krakowie</w:t>
      </w:r>
      <w:r w:rsidR="00533495">
        <w:rPr>
          <w:rFonts w:ascii="Garamond" w:eastAsia="Times New Roman" w:hAnsi="Garamond" w:cs="Times New Roman"/>
          <w:b/>
          <w:bCs/>
          <w:u w:val="single"/>
          <w:lang w:eastAsia="pl-PL"/>
        </w:rPr>
        <w:t>.</w:t>
      </w:r>
      <w:bookmarkStart w:id="0" w:name="_GoBack"/>
      <w:bookmarkEnd w:id="0"/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533495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33495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865AE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2020-06-10T10:53:00Z</dcterms:modified>
</cp:coreProperties>
</file>